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8CC" w:rsidRPr="006068DE" w:rsidRDefault="00B528CC" w:rsidP="00B528CC">
      <w:pPr>
        <w:spacing w:before="480" w:line="600" w:lineRule="exact"/>
        <w:ind w:leftChars="-50" w:left="-120" w:rightChars="-55" w:right="-132"/>
        <w:jc w:val="center"/>
        <w:rPr>
          <w:rFonts w:ascii="文鼎中楷" w:eastAsia="文鼎中楷" w:cs="新細明體"/>
          <w:spacing w:val="2"/>
          <w:kern w:val="0"/>
          <w:sz w:val="40"/>
          <w:szCs w:val="20"/>
        </w:rPr>
      </w:pPr>
      <w:bookmarkStart w:id="0" w:name="_GoBack"/>
      <w:bookmarkEnd w:id="0"/>
    </w:p>
    <w:p w:rsidR="00B528CC" w:rsidRPr="006068DE" w:rsidRDefault="00DB0C74" w:rsidP="00B528CC">
      <w:pPr>
        <w:spacing w:before="480" w:line="600" w:lineRule="exact"/>
        <w:ind w:leftChars="-295" w:left="-708" w:rightChars="-319" w:right="-766"/>
        <w:jc w:val="center"/>
        <w:rPr>
          <w:rFonts w:ascii="Arial" w:eastAsia="文鼎標準楷體" w:hAnsi="Arial" w:cs="Arial"/>
          <w:spacing w:val="2"/>
          <w:kern w:val="0"/>
          <w:sz w:val="40"/>
          <w:szCs w:val="20"/>
        </w:rPr>
      </w:pPr>
      <w:r w:rsidRPr="006068DE">
        <w:rPr>
          <w:rFonts w:ascii="Arial" w:eastAsia="文鼎標準楷體" w:hAnsi="Arial" w:cs="Arial"/>
          <w:spacing w:val="2"/>
          <w:kern w:val="0"/>
          <w:sz w:val="40"/>
          <w:szCs w:val="20"/>
        </w:rPr>
        <w:t>10</w:t>
      </w:r>
      <w:r>
        <w:rPr>
          <w:rFonts w:ascii="Arial" w:eastAsia="文鼎標準楷體" w:hAnsi="Arial" w:cs="Arial"/>
          <w:spacing w:val="2"/>
          <w:kern w:val="0"/>
          <w:sz w:val="40"/>
          <w:szCs w:val="20"/>
        </w:rPr>
        <w:t>3</w:t>
      </w:r>
      <w:r w:rsidRPr="006068DE">
        <w:rPr>
          <w:rFonts w:ascii="Arial" w:eastAsia="文鼎標準楷體" w:hAnsi="Arial" w:cs="Arial" w:hint="eastAsia"/>
          <w:spacing w:val="2"/>
          <w:kern w:val="0"/>
          <w:sz w:val="40"/>
          <w:szCs w:val="20"/>
        </w:rPr>
        <w:t>年度</w:t>
      </w:r>
    </w:p>
    <w:p w:rsidR="00B528CC" w:rsidRPr="006068DE" w:rsidRDefault="00DB0C74" w:rsidP="00B528CC">
      <w:pPr>
        <w:spacing w:before="480" w:line="600" w:lineRule="exact"/>
        <w:ind w:leftChars="-295" w:left="-708" w:rightChars="-319" w:right="-766"/>
        <w:jc w:val="center"/>
        <w:rPr>
          <w:rFonts w:ascii="Arial" w:eastAsia="文鼎標準楷體" w:hAnsi="Arial" w:cs="Arial"/>
          <w:b/>
          <w:spacing w:val="2"/>
          <w:kern w:val="0"/>
          <w:sz w:val="40"/>
          <w:szCs w:val="20"/>
        </w:rPr>
      </w:pPr>
      <w:r w:rsidRPr="006068DE">
        <w:rPr>
          <w:rFonts w:ascii="Arial" w:eastAsia="文鼎標準楷體" w:hAnsi="Arial" w:cs="Arial" w:hint="eastAsia"/>
          <w:spacing w:val="2"/>
          <w:kern w:val="0"/>
          <w:sz w:val="40"/>
          <w:szCs w:val="20"/>
        </w:rPr>
        <w:t>國內外與中國大陸經濟情勢發展與我經貿策略規劃</w:t>
      </w:r>
      <w:r w:rsidR="00B528CC" w:rsidRPr="006068DE">
        <w:rPr>
          <w:rFonts w:ascii="Arial" w:eastAsia="文鼎標準楷體" w:hAnsi="Arial" w:cs="Arial"/>
          <w:spacing w:val="2"/>
          <w:kern w:val="0"/>
          <w:sz w:val="40"/>
          <w:szCs w:val="20"/>
        </w:rPr>
        <w:br/>
      </w:r>
      <w:r w:rsidRPr="006068DE">
        <w:rPr>
          <w:rFonts w:ascii="Arial" w:eastAsia="文鼎標準楷體" w:hAnsi="Arial" w:cs="Arial" w:hint="eastAsia"/>
          <w:spacing w:val="2"/>
          <w:kern w:val="0"/>
          <w:sz w:val="40"/>
          <w:szCs w:val="20"/>
        </w:rPr>
        <w:t>工作項目一</w:t>
      </w:r>
    </w:p>
    <w:p w:rsidR="00B528CC" w:rsidRPr="006068DE" w:rsidRDefault="00B528CC" w:rsidP="00B528CC">
      <w:pPr>
        <w:spacing w:before="480" w:line="600" w:lineRule="exact"/>
        <w:ind w:leftChars="-295" w:left="-708" w:rightChars="-319" w:right="-766"/>
        <w:jc w:val="center"/>
        <w:rPr>
          <w:rFonts w:ascii="Arial" w:eastAsia="文鼎標準楷體" w:hAnsi="Arial" w:cs="Arial"/>
          <w:b/>
          <w:spacing w:val="2"/>
          <w:kern w:val="0"/>
          <w:sz w:val="40"/>
          <w:szCs w:val="20"/>
        </w:rPr>
      </w:pPr>
    </w:p>
    <w:p w:rsidR="00B528CC" w:rsidRPr="006068DE" w:rsidRDefault="00DB0C74" w:rsidP="00B528CC">
      <w:pPr>
        <w:spacing w:before="480" w:line="600" w:lineRule="exact"/>
        <w:ind w:leftChars="-295" w:left="-708" w:rightChars="-319" w:right="-766"/>
        <w:jc w:val="center"/>
        <w:rPr>
          <w:rFonts w:ascii="Arial" w:eastAsia="文鼎標準楷體" w:hAnsi="Arial" w:cs="Arial"/>
          <w:b/>
          <w:spacing w:val="2"/>
          <w:kern w:val="0"/>
          <w:sz w:val="40"/>
          <w:szCs w:val="20"/>
        </w:rPr>
      </w:pPr>
      <w:r w:rsidRPr="007E4A59">
        <w:rPr>
          <w:rFonts w:ascii="Arial" w:eastAsia="文鼎標準楷體" w:hAnsi="Arial" w:cs="Arial" w:hint="eastAsia"/>
          <w:b/>
          <w:spacing w:val="2"/>
          <w:kern w:val="0"/>
          <w:sz w:val="40"/>
          <w:szCs w:val="20"/>
        </w:rPr>
        <w:t>中國大陸當前經濟政策對我經濟之機會與挑戰</w:t>
      </w:r>
    </w:p>
    <w:p w:rsidR="00B528CC" w:rsidRDefault="00B528CC" w:rsidP="00B528CC">
      <w:pPr>
        <w:ind w:leftChars="-295" w:left="-708" w:rightChars="-319" w:right="-766"/>
        <w:jc w:val="center"/>
        <w:rPr>
          <w:rFonts w:ascii="Arial" w:eastAsia="文鼎標準楷體" w:hAnsi="Arial" w:cs="Arial"/>
          <w:b/>
          <w:sz w:val="26"/>
          <w:szCs w:val="26"/>
        </w:rPr>
      </w:pPr>
    </w:p>
    <w:p w:rsidR="00B528CC" w:rsidRPr="008F03D7" w:rsidRDefault="00DB0C74" w:rsidP="00B528CC">
      <w:pPr>
        <w:ind w:leftChars="-295" w:left="-708" w:rightChars="-319" w:right="-766"/>
        <w:jc w:val="center"/>
        <w:rPr>
          <w:rFonts w:ascii="Arial" w:eastAsia="文鼎標準楷體" w:hAnsi="Arial" w:cs="Arial"/>
          <w:b/>
          <w:sz w:val="36"/>
          <w:szCs w:val="36"/>
        </w:rPr>
      </w:pPr>
      <w:r w:rsidRPr="008F03D7">
        <w:rPr>
          <w:rFonts w:ascii="Arial" w:eastAsia="文鼎標準楷體" w:hAnsi="Arial" w:cs="Arial" w:hint="eastAsia"/>
          <w:b/>
          <w:sz w:val="36"/>
          <w:szCs w:val="36"/>
        </w:rPr>
        <w:t>期</w:t>
      </w:r>
      <w:r w:rsidRPr="008F03D7">
        <w:rPr>
          <w:rFonts w:ascii="Arial" w:eastAsia="文鼎標準楷體" w:hAnsi="Arial" w:cs="Arial"/>
          <w:b/>
          <w:sz w:val="36"/>
          <w:szCs w:val="36"/>
        </w:rPr>
        <w:t xml:space="preserve"> </w:t>
      </w:r>
      <w:r>
        <w:rPr>
          <w:rFonts w:ascii="Arial" w:eastAsia="文鼎標準楷體" w:hAnsi="Arial" w:cs="Arial" w:hint="eastAsia"/>
          <w:b/>
          <w:sz w:val="36"/>
          <w:szCs w:val="36"/>
        </w:rPr>
        <w:t>末</w:t>
      </w:r>
      <w:r w:rsidRPr="008F03D7">
        <w:rPr>
          <w:rFonts w:ascii="Arial" w:eastAsia="文鼎標準楷體" w:hAnsi="Arial" w:cs="Arial"/>
          <w:b/>
          <w:sz w:val="36"/>
          <w:szCs w:val="36"/>
        </w:rPr>
        <w:t xml:space="preserve"> </w:t>
      </w:r>
      <w:r w:rsidR="0096009D">
        <w:rPr>
          <w:rFonts w:ascii="Arial" w:eastAsia="文鼎標準楷體" w:hAnsi="Arial" w:cs="Arial" w:hint="eastAsia"/>
          <w:b/>
          <w:sz w:val="36"/>
          <w:szCs w:val="36"/>
        </w:rPr>
        <w:t>修</w:t>
      </w:r>
      <w:r w:rsidR="0096009D">
        <w:rPr>
          <w:rFonts w:ascii="Arial" w:eastAsia="文鼎標準楷體" w:hAnsi="Arial" w:cs="Arial" w:hint="eastAsia"/>
          <w:b/>
          <w:sz w:val="36"/>
          <w:szCs w:val="36"/>
        </w:rPr>
        <w:t xml:space="preserve"> </w:t>
      </w:r>
      <w:r w:rsidR="0096009D">
        <w:rPr>
          <w:rFonts w:ascii="Arial" w:eastAsia="文鼎標準楷體" w:hAnsi="Arial" w:cs="Arial" w:hint="eastAsia"/>
          <w:b/>
          <w:sz w:val="36"/>
          <w:szCs w:val="36"/>
        </w:rPr>
        <w:t>正</w:t>
      </w:r>
      <w:r w:rsidR="0096009D">
        <w:rPr>
          <w:rFonts w:ascii="Arial" w:eastAsia="文鼎標準楷體" w:hAnsi="Arial" w:cs="Arial" w:hint="eastAsia"/>
          <w:b/>
          <w:sz w:val="36"/>
          <w:szCs w:val="36"/>
        </w:rPr>
        <w:t xml:space="preserve"> </w:t>
      </w:r>
      <w:r w:rsidRPr="008F03D7">
        <w:rPr>
          <w:rFonts w:ascii="Arial" w:eastAsia="文鼎標準楷體" w:hAnsi="Arial" w:cs="Arial" w:hint="eastAsia"/>
          <w:b/>
          <w:sz w:val="36"/>
          <w:szCs w:val="36"/>
        </w:rPr>
        <w:t>報</w:t>
      </w:r>
      <w:r w:rsidRPr="008F03D7">
        <w:rPr>
          <w:rFonts w:ascii="Arial" w:eastAsia="文鼎標準楷體" w:hAnsi="Arial" w:cs="Arial"/>
          <w:b/>
          <w:sz w:val="36"/>
          <w:szCs w:val="36"/>
        </w:rPr>
        <w:t xml:space="preserve"> </w:t>
      </w:r>
      <w:r w:rsidRPr="008F03D7">
        <w:rPr>
          <w:rFonts w:ascii="Arial" w:eastAsia="文鼎標準楷體" w:hAnsi="Arial" w:cs="Arial" w:hint="eastAsia"/>
          <w:b/>
          <w:sz w:val="36"/>
          <w:szCs w:val="36"/>
        </w:rPr>
        <w:t>告</w:t>
      </w:r>
    </w:p>
    <w:p w:rsidR="00B528CC" w:rsidRPr="006068DE" w:rsidRDefault="00B528CC" w:rsidP="00B528CC">
      <w:pPr>
        <w:rPr>
          <w:rFonts w:ascii="Arial" w:eastAsia="文鼎標準楷體" w:hAnsi="Arial" w:cs="Arial"/>
          <w:b/>
          <w:sz w:val="26"/>
          <w:szCs w:val="26"/>
        </w:rPr>
      </w:pPr>
    </w:p>
    <w:p w:rsidR="00B528CC" w:rsidRPr="006068DE" w:rsidRDefault="00B528CC" w:rsidP="00B528CC">
      <w:pPr>
        <w:rPr>
          <w:rFonts w:ascii="Arial" w:eastAsia="文鼎標準楷體" w:hAnsi="Arial" w:cs="Arial"/>
          <w:b/>
          <w:sz w:val="26"/>
          <w:szCs w:val="26"/>
        </w:rPr>
      </w:pPr>
    </w:p>
    <w:p w:rsidR="00B528CC" w:rsidRPr="006068DE" w:rsidRDefault="00B528CC" w:rsidP="00B528CC">
      <w:pPr>
        <w:rPr>
          <w:rFonts w:ascii="Arial" w:eastAsia="文鼎標準楷體" w:hAnsi="Arial" w:cs="Arial"/>
        </w:rPr>
      </w:pPr>
    </w:p>
    <w:p w:rsidR="00B528CC" w:rsidRPr="006068DE" w:rsidRDefault="00B528CC" w:rsidP="00B528CC">
      <w:pPr>
        <w:rPr>
          <w:rFonts w:ascii="Arial" w:eastAsia="文鼎標準楷體" w:hAnsi="Arial" w:cs="Arial"/>
        </w:rPr>
      </w:pPr>
    </w:p>
    <w:p w:rsidR="00B528CC" w:rsidRDefault="00B528CC" w:rsidP="00B528CC">
      <w:pPr>
        <w:rPr>
          <w:rFonts w:ascii="Arial" w:eastAsia="文鼎標準楷體" w:hAnsi="Arial" w:cs="Arial"/>
        </w:rPr>
      </w:pPr>
    </w:p>
    <w:p w:rsidR="00B528CC" w:rsidRDefault="00B528CC" w:rsidP="00B528CC">
      <w:pPr>
        <w:rPr>
          <w:rFonts w:ascii="Arial" w:eastAsia="文鼎標準楷體" w:hAnsi="Arial" w:cs="Arial"/>
        </w:rPr>
      </w:pPr>
    </w:p>
    <w:p w:rsidR="00B528CC" w:rsidRPr="006068DE" w:rsidRDefault="00B528CC" w:rsidP="00B528CC">
      <w:pPr>
        <w:rPr>
          <w:rFonts w:ascii="Arial" w:eastAsia="文鼎標準楷體" w:hAnsi="Arial" w:cs="Arial"/>
        </w:rPr>
      </w:pPr>
    </w:p>
    <w:p w:rsidR="00B528CC" w:rsidRPr="006068DE" w:rsidRDefault="00B528CC" w:rsidP="00B528CC">
      <w:pPr>
        <w:rPr>
          <w:rFonts w:ascii="Arial" w:eastAsia="文鼎標準楷體" w:hAnsi="Arial" w:cs="Arial"/>
        </w:rPr>
      </w:pPr>
    </w:p>
    <w:p w:rsidR="00B528CC" w:rsidRPr="006068DE" w:rsidRDefault="00B528CC" w:rsidP="00B528CC">
      <w:pPr>
        <w:rPr>
          <w:rFonts w:ascii="Arial" w:eastAsia="文鼎標準楷體" w:hAnsi="Arial" w:cs="Arial"/>
        </w:rPr>
      </w:pPr>
    </w:p>
    <w:p w:rsidR="00B528CC" w:rsidRPr="006068DE" w:rsidRDefault="00B528CC" w:rsidP="00B528CC">
      <w:pPr>
        <w:rPr>
          <w:rFonts w:ascii="Arial" w:eastAsia="文鼎標準楷體" w:hAnsi="Arial" w:cs="Arial"/>
        </w:rPr>
      </w:pPr>
    </w:p>
    <w:tbl>
      <w:tblPr>
        <w:tblW w:w="6237" w:type="dxa"/>
        <w:tblInd w:w="1101" w:type="dxa"/>
        <w:tblLook w:val="01E0" w:firstRow="1" w:lastRow="1" w:firstColumn="1" w:lastColumn="1" w:noHBand="0" w:noVBand="0"/>
      </w:tblPr>
      <w:tblGrid>
        <w:gridCol w:w="1984"/>
        <w:gridCol w:w="4253"/>
      </w:tblGrid>
      <w:tr w:rsidR="00B528CC" w:rsidRPr="00551C5B" w:rsidTr="00393FAB">
        <w:tc>
          <w:tcPr>
            <w:tcW w:w="1984" w:type="dxa"/>
            <w:shd w:val="clear" w:color="auto" w:fill="auto"/>
          </w:tcPr>
          <w:p w:rsidR="00B528CC" w:rsidRPr="00551C5B" w:rsidRDefault="00DB0C74" w:rsidP="00393FAB">
            <w:pPr>
              <w:pStyle w:val="af3"/>
              <w:spacing w:after="180"/>
              <w:jc w:val="distribute"/>
              <w:rPr>
                <w:rFonts w:eastAsia="文鼎標準楷體"/>
                <w:szCs w:val="36"/>
              </w:rPr>
            </w:pPr>
            <w:r w:rsidRPr="00551C5B">
              <w:rPr>
                <w:rFonts w:eastAsia="文鼎標準楷體" w:hint="eastAsia"/>
                <w:szCs w:val="36"/>
              </w:rPr>
              <w:t>委託單位：</w:t>
            </w:r>
          </w:p>
        </w:tc>
        <w:tc>
          <w:tcPr>
            <w:tcW w:w="4253" w:type="dxa"/>
            <w:shd w:val="clear" w:color="auto" w:fill="auto"/>
          </w:tcPr>
          <w:p w:rsidR="00B528CC" w:rsidRPr="00551C5B" w:rsidRDefault="00DB0C74" w:rsidP="00393FAB">
            <w:pPr>
              <w:pStyle w:val="af3"/>
              <w:spacing w:after="180"/>
              <w:jc w:val="distribute"/>
              <w:rPr>
                <w:rFonts w:eastAsia="文鼎標準楷體"/>
                <w:szCs w:val="36"/>
              </w:rPr>
            </w:pPr>
            <w:r w:rsidRPr="00551C5B">
              <w:rPr>
                <w:rFonts w:eastAsia="文鼎標準楷體" w:hint="eastAsia"/>
                <w:szCs w:val="36"/>
              </w:rPr>
              <w:t>經濟部</w:t>
            </w:r>
          </w:p>
        </w:tc>
      </w:tr>
      <w:tr w:rsidR="00B528CC" w:rsidRPr="00551C5B" w:rsidTr="00393FAB">
        <w:tc>
          <w:tcPr>
            <w:tcW w:w="1984" w:type="dxa"/>
            <w:shd w:val="clear" w:color="auto" w:fill="auto"/>
          </w:tcPr>
          <w:p w:rsidR="00B528CC" w:rsidRPr="00551C5B" w:rsidRDefault="00DB0C74" w:rsidP="00393FAB">
            <w:pPr>
              <w:pStyle w:val="af3"/>
              <w:spacing w:after="180"/>
              <w:jc w:val="distribute"/>
              <w:rPr>
                <w:rFonts w:eastAsia="文鼎標準楷體"/>
                <w:szCs w:val="36"/>
              </w:rPr>
            </w:pPr>
            <w:r w:rsidRPr="00551C5B">
              <w:rPr>
                <w:rFonts w:eastAsia="文鼎標準楷體" w:hint="eastAsia"/>
                <w:szCs w:val="36"/>
              </w:rPr>
              <w:t>執行單位：</w:t>
            </w:r>
          </w:p>
        </w:tc>
        <w:tc>
          <w:tcPr>
            <w:tcW w:w="4253" w:type="dxa"/>
            <w:shd w:val="clear" w:color="auto" w:fill="auto"/>
          </w:tcPr>
          <w:p w:rsidR="00B528CC" w:rsidRPr="00551C5B" w:rsidRDefault="00DB0C74" w:rsidP="00393FAB">
            <w:pPr>
              <w:pStyle w:val="af3"/>
              <w:spacing w:after="180"/>
              <w:jc w:val="distribute"/>
              <w:rPr>
                <w:rFonts w:eastAsia="文鼎標準楷體"/>
                <w:szCs w:val="36"/>
              </w:rPr>
            </w:pPr>
            <w:r w:rsidRPr="00551C5B">
              <w:rPr>
                <w:rFonts w:eastAsia="文鼎標準楷體" w:hint="eastAsia"/>
                <w:szCs w:val="36"/>
              </w:rPr>
              <w:t>財團法人中華經濟研究院</w:t>
            </w:r>
          </w:p>
        </w:tc>
      </w:tr>
    </w:tbl>
    <w:p w:rsidR="009F2A4B" w:rsidRPr="00B528CC" w:rsidRDefault="00DB0C74" w:rsidP="00B528CC">
      <w:pPr>
        <w:spacing w:before="480" w:line="600" w:lineRule="exact"/>
        <w:ind w:leftChars="-50" w:left="-120" w:rightChars="-55" w:right="-132"/>
        <w:jc w:val="center"/>
        <w:rPr>
          <w:rFonts w:eastAsia="文鼎標準楷體"/>
          <w:sz w:val="30"/>
          <w:szCs w:val="30"/>
        </w:rPr>
        <w:sectPr w:rsidR="009F2A4B" w:rsidRPr="00B528CC">
          <w:footerReference w:type="even" r:id="rId9"/>
          <w:pgSz w:w="11906" w:h="16838"/>
          <w:pgMar w:top="1440" w:right="1800" w:bottom="1440" w:left="1800" w:header="851" w:footer="992" w:gutter="0"/>
          <w:cols w:space="425"/>
          <w:docGrid w:type="lines" w:linePitch="360"/>
        </w:sectPr>
      </w:pPr>
      <w:r w:rsidRPr="00B528CC">
        <w:rPr>
          <w:rFonts w:eastAsia="文鼎標準楷體" w:hint="eastAsia"/>
          <w:sz w:val="30"/>
          <w:szCs w:val="30"/>
        </w:rPr>
        <w:t>中華民國</w:t>
      </w:r>
      <w:r w:rsidRPr="00B528CC">
        <w:rPr>
          <w:rFonts w:eastAsia="文鼎標準楷體"/>
          <w:sz w:val="30"/>
          <w:szCs w:val="30"/>
        </w:rPr>
        <w:t xml:space="preserve"> 10</w:t>
      </w:r>
      <w:r>
        <w:rPr>
          <w:rFonts w:eastAsia="文鼎標準楷體"/>
          <w:sz w:val="30"/>
          <w:szCs w:val="30"/>
        </w:rPr>
        <w:t>3</w:t>
      </w:r>
      <w:r w:rsidRPr="00B528CC">
        <w:rPr>
          <w:rFonts w:eastAsia="文鼎標準楷體"/>
          <w:sz w:val="30"/>
          <w:szCs w:val="30"/>
        </w:rPr>
        <w:t xml:space="preserve"> </w:t>
      </w:r>
      <w:r w:rsidRPr="00B528CC">
        <w:rPr>
          <w:rFonts w:eastAsia="文鼎標準楷體" w:hint="eastAsia"/>
          <w:sz w:val="30"/>
          <w:szCs w:val="30"/>
        </w:rPr>
        <w:t>年</w:t>
      </w:r>
      <w:r w:rsidRPr="00B528CC">
        <w:rPr>
          <w:rFonts w:eastAsia="文鼎標準楷體"/>
          <w:sz w:val="30"/>
          <w:szCs w:val="30"/>
        </w:rPr>
        <w:t xml:space="preserve"> </w:t>
      </w:r>
      <w:r w:rsidR="00ED5FA5">
        <w:rPr>
          <w:rFonts w:eastAsia="文鼎標準楷體"/>
          <w:sz w:val="30"/>
          <w:szCs w:val="30"/>
        </w:rPr>
        <w:t>1</w:t>
      </w:r>
      <w:r w:rsidR="0096009D">
        <w:rPr>
          <w:rFonts w:eastAsia="文鼎標準楷體" w:hint="eastAsia"/>
          <w:sz w:val="30"/>
          <w:szCs w:val="30"/>
        </w:rPr>
        <w:t>2</w:t>
      </w:r>
      <w:r w:rsidRPr="00B528CC">
        <w:rPr>
          <w:rFonts w:eastAsia="文鼎標準楷體"/>
          <w:sz w:val="30"/>
          <w:szCs w:val="30"/>
        </w:rPr>
        <w:t xml:space="preserve"> </w:t>
      </w:r>
      <w:r w:rsidRPr="00B528CC">
        <w:rPr>
          <w:rFonts w:eastAsia="文鼎標準楷體" w:hint="eastAsia"/>
          <w:sz w:val="30"/>
          <w:szCs w:val="30"/>
        </w:rPr>
        <w:t>月</w:t>
      </w:r>
    </w:p>
    <w:p w:rsidR="00B528CC" w:rsidRPr="006068DE" w:rsidRDefault="00B528CC" w:rsidP="00B528CC">
      <w:pPr>
        <w:spacing w:before="480" w:line="600" w:lineRule="exact"/>
        <w:ind w:leftChars="-50" w:left="-120" w:rightChars="-55" w:right="-132"/>
        <w:jc w:val="center"/>
        <w:rPr>
          <w:rFonts w:ascii="Arial" w:eastAsia="文鼎標準楷體" w:hAnsi="Arial" w:cs="Arial"/>
          <w:spacing w:val="2"/>
          <w:kern w:val="0"/>
          <w:sz w:val="40"/>
          <w:szCs w:val="20"/>
        </w:rPr>
      </w:pPr>
    </w:p>
    <w:p w:rsidR="00B528CC" w:rsidRPr="006068DE" w:rsidRDefault="00DB0C74" w:rsidP="00B528CC">
      <w:pPr>
        <w:spacing w:before="480" w:line="600" w:lineRule="exact"/>
        <w:ind w:leftChars="-295" w:left="-708" w:rightChars="-319" w:right="-766"/>
        <w:jc w:val="center"/>
        <w:rPr>
          <w:rFonts w:ascii="Arial" w:eastAsia="文鼎標準楷體" w:hAnsi="Arial" w:cs="Arial"/>
          <w:spacing w:val="2"/>
          <w:kern w:val="0"/>
          <w:sz w:val="40"/>
          <w:szCs w:val="20"/>
        </w:rPr>
      </w:pPr>
      <w:r w:rsidRPr="006068DE">
        <w:rPr>
          <w:rFonts w:ascii="Arial" w:eastAsia="文鼎標準楷體" w:hAnsi="Arial" w:cs="Arial"/>
          <w:spacing w:val="2"/>
          <w:kern w:val="0"/>
          <w:sz w:val="40"/>
          <w:szCs w:val="20"/>
        </w:rPr>
        <w:t>10</w:t>
      </w:r>
      <w:r>
        <w:rPr>
          <w:rFonts w:ascii="Arial" w:eastAsia="文鼎標準楷體" w:hAnsi="Arial" w:cs="Arial"/>
          <w:spacing w:val="2"/>
          <w:kern w:val="0"/>
          <w:sz w:val="40"/>
          <w:szCs w:val="20"/>
        </w:rPr>
        <w:t>3</w:t>
      </w:r>
      <w:r w:rsidRPr="006068DE">
        <w:rPr>
          <w:rFonts w:ascii="Arial" w:eastAsia="文鼎標準楷體" w:hAnsi="Arial" w:cs="Arial" w:hint="eastAsia"/>
          <w:spacing w:val="2"/>
          <w:kern w:val="0"/>
          <w:sz w:val="40"/>
          <w:szCs w:val="20"/>
        </w:rPr>
        <w:t>年度</w:t>
      </w:r>
    </w:p>
    <w:p w:rsidR="00B528CC" w:rsidRPr="006068DE" w:rsidRDefault="00DB0C74" w:rsidP="00B528CC">
      <w:pPr>
        <w:spacing w:before="480" w:line="600" w:lineRule="exact"/>
        <w:ind w:leftChars="-295" w:left="-708" w:rightChars="-319" w:right="-766"/>
        <w:jc w:val="center"/>
        <w:rPr>
          <w:rFonts w:ascii="Arial" w:eastAsia="文鼎標準楷體" w:hAnsi="Arial" w:cs="Arial"/>
          <w:b/>
          <w:spacing w:val="2"/>
          <w:kern w:val="0"/>
          <w:sz w:val="40"/>
          <w:szCs w:val="20"/>
        </w:rPr>
      </w:pPr>
      <w:r w:rsidRPr="006068DE">
        <w:rPr>
          <w:rFonts w:ascii="Arial" w:eastAsia="文鼎標準楷體" w:hAnsi="Arial" w:cs="Arial" w:hint="eastAsia"/>
          <w:spacing w:val="2"/>
          <w:kern w:val="0"/>
          <w:sz w:val="40"/>
          <w:szCs w:val="20"/>
        </w:rPr>
        <w:t>國內外與中國大陸經濟情勢發展與我經貿策略規劃</w:t>
      </w:r>
      <w:r w:rsidR="00B528CC" w:rsidRPr="006068DE">
        <w:rPr>
          <w:rFonts w:ascii="Arial" w:eastAsia="文鼎標準楷體" w:hAnsi="Arial" w:cs="Arial"/>
          <w:spacing w:val="2"/>
          <w:kern w:val="0"/>
          <w:sz w:val="40"/>
          <w:szCs w:val="20"/>
        </w:rPr>
        <w:br/>
      </w:r>
      <w:r w:rsidRPr="006068DE">
        <w:rPr>
          <w:rFonts w:ascii="Arial" w:eastAsia="文鼎標準楷體" w:hAnsi="Arial" w:cs="Arial" w:hint="eastAsia"/>
          <w:spacing w:val="2"/>
          <w:kern w:val="0"/>
          <w:sz w:val="40"/>
          <w:szCs w:val="20"/>
        </w:rPr>
        <w:t>工作項目一</w:t>
      </w:r>
    </w:p>
    <w:p w:rsidR="00B528CC" w:rsidRPr="006068DE" w:rsidRDefault="00B528CC" w:rsidP="00B528CC">
      <w:pPr>
        <w:spacing w:before="480" w:line="600" w:lineRule="exact"/>
        <w:ind w:leftChars="-295" w:left="-708" w:rightChars="-319" w:right="-766"/>
        <w:jc w:val="center"/>
        <w:rPr>
          <w:rFonts w:ascii="Arial" w:eastAsia="文鼎標準楷體" w:hAnsi="Arial" w:cs="Arial"/>
          <w:b/>
          <w:spacing w:val="2"/>
          <w:kern w:val="0"/>
          <w:sz w:val="40"/>
          <w:szCs w:val="20"/>
        </w:rPr>
      </w:pPr>
    </w:p>
    <w:p w:rsidR="008F03D7" w:rsidRPr="006068DE" w:rsidRDefault="00DB0C74" w:rsidP="008F03D7">
      <w:pPr>
        <w:spacing w:before="480" w:line="600" w:lineRule="exact"/>
        <w:ind w:leftChars="-295" w:left="-708" w:rightChars="-319" w:right="-766"/>
        <w:jc w:val="center"/>
        <w:rPr>
          <w:rFonts w:ascii="Arial" w:eastAsia="文鼎標準楷體" w:hAnsi="Arial" w:cs="Arial"/>
          <w:b/>
          <w:spacing w:val="2"/>
          <w:kern w:val="0"/>
          <w:sz w:val="40"/>
          <w:szCs w:val="20"/>
        </w:rPr>
      </w:pPr>
      <w:r w:rsidRPr="007E4A59">
        <w:rPr>
          <w:rFonts w:ascii="Arial" w:eastAsia="文鼎標準楷體" w:hAnsi="Arial" w:cs="Arial" w:hint="eastAsia"/>
          <w:b/>
          <w:spacing w:val="2"/>
          <w:kern w:val="0"/>
          <w:sz w:val="40"/>
          <w:szCs w:val="20"/>
        </w:rPr>
        <w:t>中國大陸當前經濟政策對我經濟之機會與挑戰</w:t>
      </w:r>
    </w:p>
    <w:p w:rsidR="008F03D7" w:rsidRPr="008F03D7" w:rsidRDefault="008F03D7" w:rsidP="008F03D7">
      <w:pPr>
        <w:ind w:leftChars="-295" w:left="-708" w:rightChars="-319" w:right="-766"/>
        <w:jc w:val="center"/>
        <w:rPr>
          <w:rFonts w:ascii="Arial" w:eastAsia="文鼎標準楷體" w:hAnsi="Arial" w:cs="Arial"/>
          <w:b/>
          <w:sz w:val="26"/>
          <w:szCs w:val="26"/>
        </w:rPr>
      </w:pPr>
    </w:p>
    <w:p w:rsidR="008F03D7" w:rsidRPr="008F03D7" w:rsidRDefault="00DB0C74" w:rsidP="008F03D7">
      <w:pPr>
        <w:ind w:leftChars="-295" w:left="-708" w:rightChars="-319" w:right="-766"/>
        <w:jc w:val="center"/>
        <w:rPr>
          <w:rFonts w:ascii="Arial" w:eastAsia="文鼎標準楷體" w:hAnsi="Arial" w:cs="Arial"/>
          <w:b/>
          <w:sz w:val="36"/>
          <w:szCs w:val="36"/>
        </w:rPr>
      </w:pPr>
      <w:r w:rsidRPr="008F03D7">
        <w:rPr>
          <w:rFonts w:ascii="Arial" w:eastAsia="文鼎標準楷體" w:hAnsi="Arial" w:cs="Arial" w:hint="eastAsia"/>
          <w:b/>
          <w:sz w:val="36"/>
          <w:szCs w:val="36"/>
        </w:rPr>
        <w:t>期</w:t>
      </w:r>
      <w:r w:rsidRPr="008F03D7">
        <w:rPr>
          <w:rFonts w:ascii="Arial" w:eastAsia="文鼎標準楷體" w:hAnsi="Arial" w:cs="Arial"/>
          <w:b/>
          <w:sz w:val="36"/>
          <w:szCs w:val="36"/>
        </w:rPr>
        <w:t xml:space="preserve"> </w:t>
      </w:r>
      <w:r>
        <w:rPr>
          <w:rFonts w:ascii="Arial" w:eastAsia="文鼎標準楷體" w:hAnsi="Arial" w:cs="Arial" w:hint="eastAsia"/>
          <w:b/>
          <w:sz w:val="36"/>
          <w:szCs w:val="36"/>
        </w:rPr>
        <w:t>末</w:t>
      </w:r>
      <w:r w:rsidRPr="008F03D7">
        <w:rPr>
          <w:rFonts w:ascii="Arial" w:eastAsia="文鼎標準楷體" w:hAnsi="Arial" w:cs="Arial"/>
          <w:b/>
          <w:sz w:val="36"/>
          <w:szCs w:val="36"/>
        </w:rPr>
        <w:t xml:space="preserve"> </w:t>
      </w:r>
      <w:r w:rsidR="0096009D">
        <w:rPr>
          <w:rFonts w:ascii="Arial" w:eastAsia="文鼎標準楷體" w:hAnsi="Arial" w:cs="Arial" w:hint="eastAsia"/>
          <w:b/>
          <w:sz w:val="36"/>
          <w:szCs w:val="36"/>
        </w:rPr>
        <w:t>修</w:t>
      </w:r>
      <w:r w:rsidR="0096009D">
        <w:rPr>
          <w:rFonts w:ascii="Arial" w:eastAsia="文鼎標準楷體" w:hAnsi="Arial" w:cs="Arial" w:hint="eastAsia"/>
          <w:b/>
          <w:sz w:val="36"/>
          <w:szCs w:val="36"/>
        </w:rPr>
        <w:t xml:space="preserve"> </w:t>
      </w:r>
      <w:r w:rsidR="0096009D">
        <w:rPr>
          <w:rFonts w:ascii="Arial" w:eastAsia="文鼎標準楷體" w:hAnsi="Arial" w:cs="Arial" w:hint="eastAsia"/>
          <w:b/>
          <w:sz w:val="36"/>
          <w:szCs w:val="36"/>
        </w:rPr>
        <w:t>正</w:t>
      </w:r>
      <w:r w:rsidR="0096009D">
        <w:rPr>
          <w:rFonts w:ascii="Arial" w:eastAsia="文鼎標準楷體" w:hAnsi="Arial" w:cs="Arial" w:hint="eastAsia"/>
          <w:b/>
          <w:sz w:val="36"/>
          <w:szCs w:val="36"/>
        </w:rPr>
        <w:t xml:space="preserve"> </w:t>
      </w:r>
      <w:r w:rsidRPr="008F03D7">
        <w:rPr>
          <w:rFonts w:ascii="Arial" w:eastAsia="文鼎標準楷體" w:hAnsi="Arial" w:cs="Arial" w:hint="eastAsia"/>
          <w:b/>
          <w:sz w:val="36"/>
          <w:szCs w:val="36"/>
        </w:rPr>
        <w:t>報</w:t>
      </w:r>
      <w:r w:rsidRPr="008F03D7">
        <w:rPr>
          <w:rFonts w:ascii="Arial" w:eastAsia="文鼎標準楷體" w:hAnsi="Arial" w:cs="Arial"/>
          <w:b/>
          <w:sz w:val="36"/>
          <w:szCs w:val="36"/>
        </w:rPr>
        <w:t xml:space="preserve"> </w:t>
      </w:r>
      <w:r w:rsidRPr="008F03D7">
        <w:rPr>
          <w:rFonts w:ascii="Arial" w:eastAsia="文鼎標準楷體" w:hAnsi="Arial" w:cs="Arial" w:hint="eastAsia"/>
          <w:b/>
          <w:sz w:val="36"/>
          <w:szCs w:val="36"/>
        </w:rPr>
        <w:t>告</w:t>
      </w:r>
    </w:p>
    <w:p w:rsidR="00B528CC" w:rsidRDefault="00B528CC" w:rsidP="00B528CC">
      <w:pPr>
        <w:ind w:leftChars="-295" w:left="-708" w:rightChars="-319" w:right="-766"/>
        <w:jc w:val="center"/>
        <w:rPr>
          <w:rFonts w:ascii="Arial" w:eastAsia="文鼎標準楷體" w:hAnsi="Arial" w:cs="Arial"/>
          <w:b/>
          <w:sz w:val="26"/>
          <w:szCs w:val="26"/>
        </w:rPr>
      </w:pPr>
    </w:p>
    <w:p w:rsidR="00B528CC" w:rsidRPr="006068DE" w:rsidRDefault="00B528CC" w:rsidP="00B528CC">
      <w:pPr>
        <w:ind w:leftChars="-295" w:left="-708" w:rightChars="-319" w:right="-766"/>
        <w:jc w:val="center"/>
        <w:rPr>
          <w:rFonts w:ascii="Arial" w:eastAsia="文鼎標準楷體" w:hAnsi="Arial" w:cs="Arial"/>
          <w:b/>
          <w:sz w:val="26"/>
          <w:szCs w:val="26"/>
        </w:rPr>
      </w:pPr>
    </w:p>
    <w:tbl>
      <w:tblPr>
        <w:tblW w:w="7104" w:type="dxa"/>
        <w:tblInd w:w="1368" w:type="dxa"/>
        <w:tblLook w:val="01E0" w:firstRow="1" w:lastRow="1" w:firstColumn="1" w:lastColumn="1" w:noHBand="0" w:noVBand="0"/>
      </w:tblPr>
      <w:tblGrid>
        <w:gridCol w:w="2700"/>
        <w:gridCol w:w="4404"/>
      </w:tblGrid>
      <w:tr w:rsidR="00B528CC" w:rsidRPr="008F03D7" w:rsidTr="00CB51C8">
        <w:tc>
          <w:tcPr>
            <w:tcW w:w="2700" w:type="dxa"/>
            <w:shd w:val="clear" w:color="auto" w:fill="auto"/>
          </w:tcPr>
          <w:p w:rsidR="00B528CC" w:rsidRPr="008F03D7" w:rsidRDefault="00DB0C74" w:rsidP="00393FAB">
            <w:pPr>
              <w:spacing w:line="600" w:lineRule="exact"/>
              <w:jc w:val="distribute"/>
              <w:rPr>
                <w:rFonts w:ascii="Arial" w:eastAsia="文鼎標準楷體" w:hAnsi="Arial" w:cs="Arial"/>
                <w:sz w:val="38"/>
                <w:szCs w:val="38"/>
              </w:rPr>
            </w:pPr>
            <w:r w:rsidRPr="008F03D7">
              <w:rPr>
                <w:rFonts w:ascii="Arial" w:eastAsia="文鼎標準楷體" w:hAnsi="Arial" w:cs="Arial" w:hint="eastAsia"/>
                <w:sz w:val="38"/>
                <w:szCs w:val="38"/>
              </w:rPr>
              <w:t>議題負責人：</w:t>
            </w:r>
          </w:p>
        </w:tc>
        <w:tc>
          <w:tcPr>
            <w:tcW w:w="4404" w:type="dxa"/>
            <w:shd w:val="clear" w:color="auto" w:fill="auto"/>
          </w:tcPr>
          <w:p w:rsidR="00B528CC" w:rsidRPr="008F03D7" w:rsidRDefault="00DB0C74" w:rsidP="00393FAB">
            <w:pPr>
              <w:spacing w:line="600" w:lineRule="exact"/>
              <w:rPr>
                <w:rFonts w:ascii="Arial" w:eastAsia="文鼎標準楷體" w:hAnsi="Arial" w:cs="Arial"/>
                <w:sz w:val="38"/>
                <w:szCs w:val="38"/>
              </w:rPr>
            </w:pPr>
            <w:r>
              <w:rPr>
                <w:rFonts w:ascii="Arial" w:eastAsia="文鼎標準楷體" w:hAnsi="Arial" w:cs="Arial" w:hint="eastAsia"/>
                <w:sz w:val="38"/>
                <w:szCs w:val="38"/>
              </w:rPr>
              <w:t>劉柏定</w:t>
            </w:r>
          </w:p>
        </w:tc>
      </w:tr>
      <w:tr w:rsidR="00B528CC" w:rsidRPr="008F03D7" w:rsidTr="00CB51C8">
        <w:tc>
          <w:tcPr>
            <w:tcW w:w="2700" w:type="dxa"/>
            <w:shd w:val="clear" w:color="auto" w:fill="auto"/>
          </w:tcPr>
          <w:p w:rsidR="00B528CC" w:rsidRPr="008F03D7" w:rsidRDefault="00DB0C74" w:rsidP="00393FAB">
            <w:pPr>
              <w:spacing w:line="600" w:lineRule="exact"/>
              <w:jc w:val="distribute"/>
              <w:rPr>
                <w:rFonts w:ascii="Arial" w:eastAsia="文鼎標準楷體" w:hAnsi="Arial" w:cs="Arial"/>
                <w:sz w:val="38"/>
                <w:szCs w:val="38"/>
              </w:rPr>
            </w:pPr>
            <w:r w:rsidRPr="008F03D7">
              <w:rPr>
                <w:rFonts w:ascii="Arial" w:eastAsia="文鼎標準楷體" w:hAnsi="Arial" w:cs="Arial" w:hint="eastAsia"/>
                <w:sz w:val="38"/>
                <w:szCs w:val="38"/>
              </w:rPr>
              <w:t>研究人員：</w:t>
            </w:r>
          </w:p>
        </w:tc>
        <w:tc>
          <w:tcPr>
            <w:tcW w:w="4404" w:type="dxa"/>
            <w:shd w:val="clear" w:color="auto" w:fill="auto"/>
          </w:tcPr>
          <w:p w:rsidR="00B528CC" w:rsidRPr="008F03D7" w:rsidRDefault="00DB0C74" w:rsidP="00402F48">
            <w:pPr>
              <w:spacing w:line="600" w:lineRule="exact"/>
              <w:rPr>
                <w:rFonts w:ascii="Arial" w:eastAsia="文鼎標準楷體" w:hAnsi="Arial" w:cs="Arial"/>
                <w:sz w:val="38"/>
                <w:szCs w:val="38"/>
              </w:rPr>
            </w:pPr>
            <w:r>
              <w:rPr>
                <w:rFonts w:ascii="Arial" w:eastAsia="文鼎標準楷體" w:hAnsi="Arial" w:cs="Arial" w:hint="eastAsia"/>
                <w:sz w:val="38"/>
                <w:szCs w:val="38"/>
              </w:rPr>
              <w:t>劉柏定</w:t>
            </w:r>
            <w:r w:rsidRPr="008F03D7">
              <w:rPr>
                <w:rFonts w:ascii="Arial" w:eastAsia="文鼎標準楷體" w:hAnsi="Arial" w:cs="Arial" w:hint="eastAsia"/>
                <w:sz w:val="38"/>
                <w:szCs w:val="38"/>
              </w:rPr>
              <w:t>、</w:t>
            </w:r>
            <w:r>
              <w:rPr>
                <w:rFonts w:ascii="Arial" w:eastAsia="文鼎標準楷體" w:hAnsi="Arial" w:cs="Arial" w:hint="eastAsia"/>
                <w:sz w:val="38"/>
                <w:szCs w:val="38"/>
              </w:rPr>
              <w:t>溫芳宜</w:t>
            </w:r>
            <w:r w:rsidR="00402F48">
              <w:rPr>
                <w:rFonts w:ascii="Arial" w:eastAsia="文鼎標準楷體" w:hAnsi="Arial" w:cs="Arial" w:hint="eastAsia"/>
                <w:sz w:val="38"/>
                <w:szCs w:val="38"/>
              </w:rPr>
              <w:t>、蘇筑瑄</w:t>
            </w:r>
          </w:p>
        </w:tc>
      </w:tr>
    </w:tbl>
    <w:p w:rsidR="00B528CC" w:rsidRDefault="00B528CC" w:rsidP="00B528CC">
      <w:pPr>
        <w:rPr>
          <w:rFonts w:ascii="Arial" w:eastAsia="文鼎標準楷體" w:hAnsi="Arial" w:cs="Arial"/>
        </w:rPr>
      </w:pPr>
    </w:p>
    <w:p w:rsidR="00B528CC" w:rsidRDefault="00B528CC" w:rsidP="00B528CC">
      <w:pPr>
        <w:rPr>
          <w:rFonts w:ascii="Arial" w:eastAsia="文鼎標準楷體" w:hAnsi="Arial" w:cs="Arial"/>
        </w:rPr>
      </w:pPr>
    </w:p>
    <w:p w:rsidR="00B528CC" w:rsidRDefault="00B528CC" w:rsidP="00B528CC">
      <w:pPr>
        <w:rPr>
          <w:rFonts w:ascii="Arial" w:eastAsia="文鼎標準楷體" w:hAnsi="Arial" w:cs="Arial"/>
        </w:rPr>
      </w:pPr>
    </w:p>
    <w:p w:rsidR="00CB51C8" w:rsidRDefault="00CB51C8" w:rsidP="00B528CC">
      <w:pPr>
        <w:rPr>
          <w:rFonts w:ascii="Arial" w:eastAsia="文鼎標準楷體" w:hAnsi="Arial" w:cs="Arial"/>
        </w:rPr>
      </w:pPr>
    </w:p>
    <w:p w:rsidR="00CB51C8" w:rsidRDefault="00CB51C8" w:rsidP="00B528CC">
      <w:pPr>
        <w:rPr>
          <w:rFonts w:ascii="Arial" w:eastAsia="文鼎標準楷體" w:hAnsi="Arial" w:cs="Arial"/>
        </w:rPr>
      </w:pPr>
    </w:p>
    <w:tbl>
      <w:tblPr>
        <w:tblW w:w="6237" w:type="dxa"/>
        <w:tblInd w:w="1101" w:type="dxa"/>
        <w:tblLook w:val="01E0" w:firstRow="1" w:lastRow="1" w:firstColumn="1" w:lastColumn="1" w:noHBand="0" w:noVBand="0"/>
      </w:tblPr>
      <w:tblGrid>
        <w:gridCol w:w="1984"/>
        <w:gridCol w:w="4253"/>
      </w:tblGrid>
      <w:tr w:rsidR="00B528CC" w:rsidRPr="00551C5B" w:rsidTr="00393FAB">
        <w:tc>
          <w:tcPr>
            <w:tcW w:w="1984" w:type="dxa"/>
            <w:shd w:val="clear" w:color="auto" w:fill="auto"/>
          </w:tcPr>
          <w:p w:rsidR="00B528CC" w:rsidRPr="00551C5B" w:rsidRDefault="00DB0C74" w:rsidP="00393FAB">
            <w:pPr>
              <w:pStyle w:val="af3"/>
              <w:spacing w:after="180"/>
              <w:jc w:val="distribute"/>
              <w:rPr>
                <w:rFonts w:eastAsia="文鼎標準楷體"/>
                <w:szCs w:val="36"/>
              </w:rPr>
            </w:pPr>
            <w:r w:rsidRPr="00551C5B">
              <w:rPr>
                <w:rFonts w:eastAsia="文鼎標準楷體" w:hint="eastAsia"/>
                <w:szCs w:val="36"/>
              </w:rPr>
              <w:t>委託單位：</w:t>
            </w:r>
          </w:p>
        </w:tc>
        <w:tc>
          <w:tcPr>
            <w:tcW w:w="4253" w:type="dxa"/>
            <w:shd w:val="clear" w:color="auto" w:fill="auto"/>
          </w:tcPr>
          <w:p w:rsidR="00B528CC" w:rsidRPr="00551C5B" w:rsidRDefault="00DB0C74" w:rsidP="00393FAB">
            <w:pPr>
              <w:pStyle w:val="af3"/>
              <w:spacing w:after="180"/>
              <w:jc w:val="distribute"/>
              <w:rPr>
                <w:rFonts w:eastAsia="文鼎標準楷體"/>
                <w:szCs w:val="36"/>
              </w:rPr>
            </w:pPr>
            <w:r w:rsidRPr="00551C5B">
              <w:rPr>
                <w:rFonts w:eastAsia="文鼎標準楷體" w:hint="eastAsia"/>
                <w:szCs w:val="36"/>
              </w:rPr>
              <w:t>經濟部</w:t>
            </w:r>
          </w:p>
        </w:tc>
      </w:tr>
      <w:tr w:rsidR="00B528CC" w:rsidRPr="00551C5B" w:rsidTr="00393FAB">
        <w:tc>
          <w:tcPr>
            <w:tcW w:w="1984" w:type="dxa"/>
            <w:shd w:val="clear" w:color="auto" w:fill="auto"/>
          </w:tcPr>
          <w:p w:rsidR="00B528CC" w:rsidRPr="00551C5B" w:rsidRDefault="00DB0C74" w:rsidP="00393FAB">
            <w:pPr>
              <w:pStyle w:val="af3"/>
              <w:spacing w:after="180"/>
              <w:jc w:val="distribute"/>
              <w:rPr>
                <w:rFonts w:eastAsia="文鼎標準楷體"/>
                <w:szCs w:val="36"/>
              </w:rPr>
            </w:pPr>
            <w:r w:rsidRPr="00551C5B">
              <w:rPr>
                <w:rFonts w:eastAsia="文鼎標準楷體" w:hint="eastAsia"/>
                <w:szCs w:val="36"/>
              </w:rPr>
              <w:t>執行單位：</w:t>
            </w:r>
          </w:p>
        </w:tc>
        <w:tc>
          <w:tcPr>
            <w:tcW w:w="4253" w:type="dxa"/>
            <w:shd w:val="clear" w:color="auto" w:fill="auto"/>
          </w:tcPr>
          <w:p w:rsidR="00B528CC" w:rsidRPr="00551C5B" w:rsidRDefault="00DB0C74" w:rsidP="00393FAB">
            <w:pPr>
              <w:pStyle w:val="af3"/>
              <w:spacing w:after="180"/>
              <w:jc w:val="distribute"/>
              <w:rPr>
                <w:rFonts w:eastAsia="文鼎標準楷體"/>
                <w:szCs w:val="36"/>
              </w:rPr>
            </w:pPr>
            <w:r w:rsidRPr="00551C5B">
              <w:rPr>
                <w:rFonts w:eastAsia="文鼎標準楷體" w:hint="eastAsia"/>
                <w:szCs w:val="36"/>
              </w:rPr>
              <w:t>財團法人中華經濟研究院</w:t>
            </w:r>
          </w:p>
        </w:tc>
      </w:tr>
    </w:tbl>
    <w:p w:rsidR="009F2A4B" w:rsidRPr="00B528CC" w:rsidRDefault="00DB0C74" w:rsidP="00B528CC">
      <w:pPr>
        <w:spacing w:before="480" w:line="600" w:lineRule="exact"/>
        <w:ind w:leftChars="-50" w:left="-120" w:rightChars="-55" w:right="-132"/>
        <w:jc w:val="center"/>
      </w:pPr>
      <w:r w:rsidRPr="00551C5B">
        <w:rPr>
          <w:rFonts w:eastAsia="文鼎標準楷體" w:hint="eastAsia"/>
          <w:sz w:val="30"/>
          <w:szCs w:val="30"/>
        </w:rPr>
        <w:t>中華民國</w:t>
      </w:r>
      <w:r w:rsidRPr="00551C5B">
        <w:rPr>
          <w:rFonts w:eastAsia="文鼎標準楷體"/>
          <w:sz w:val="30"/>
          <w:szCs w:val="30"/>
        </w:rPr>
        <w:t xml:space="preserve"> 10</w:t>
      </w:r>
      <w:r>
        <w:rPr>
          <w:rFonts w:eastAsia="文鼎標準楷體"/>
          <w:sz w:val="30"/>
          <w:szCs w:val="30"/>
        </w:rPr>
        <w:t>3</w:t>
      </w:r>
      <w:r w:rsidRPr="00551C5B">
        <w:rPr>
          <w:rFonts w:eastAsia="文鼎標準楷體"/>
          <w:sz w:val="30"/>
          <w:szCs w:val="30"/>
        </w:rPr>
        <w:t xml:space="preserve"> </w:t>
      </w:r>
      <w:r w:rsidRPr="00551C5B">
        <w:rPr>
          <w:rFonts w:eastAsia="文鼎標準楷體" w:hint="eastAsia"/>
          <w:sz w:val="30"/>
          <w:szCs w:val="30"/>
        </w:rPr>
        <w:t>年</w:t>
      </w:r>
      <w:r w:rsidRPr="00551C5B">
        <w:rPr>
          <w:rFonts w:eastAsia="文鼎標準楷體"/>
          <w:sz w:val="30"/>
          <w:szCs w:val="30"/>
        </w:rPr>
        <w:t xml:space="preserve"> </w:t>
      </w:r>
      <w:r>
        <w:rPr>
          <w:rFonts w:eastAsia="文鼎標準楷體"/>
          <w:sz w:val="30"/>
          <w:szCs w:val="30"/>
        </w:rPr>
        <w:t>1</w:t>
      </w:r>
      <w:r w:rsidR="0096009D">
        <w:rPr>
          <w:rFonts w:eastAsia="文鼎標準楷體" w:hint="eastAsia"/>
          <w:sz w:val="30"/>
          <w:szCs w:val="30"/>
        </w:rPr>
        <w:t>2</w:t>
      </w:r>
      <w:r w:rsidRPr="00551C5B">
        <w:rPr>
          <w:rFonts w:eastAsia="文鼎標準楷體"/>
          <w:sz w:val="30"/>
          <w:szCs w:val="30"/>
        </w:rPr>
        <w:t xml:space="preserve"> </w:t>
      </w:r>
      <w:r w:rsidRPr="00551C5B">
        <w:rPr>
          <w:rFonts w:eastAsia="文鼎標準楷體" w:hint="eastAsia"/>
          <w:sz w:val="30"/>
          <w:szCs w:val="30"/>
        </w:rPr>
        <w:t>月</w:t>
      </w:r>
    </w:p>
    <w:p w:rsidR="00A7436E" w:rsidRPr="009F2A4B" w:rsidRDefault="00A7436E" w:rsidP="00A7436E">
      <w:pPr>
        <w:sectPr w:rsidR="00A7436E" w:rsidRPr="009F2A4B" w:rsidSect="009F2A4B">
          <w:type w:val="oddPage"/>
          <w:pgSz w:w="11906" w:h="16838"/>
          <w:pgMar w:top="1440" w:right="1800" w:bottom="1440" w:left="1800" w:header="851" w:footer="992" w:gutter="0"/>
          <w:cols w:space="425"/>
          <w:docGrid w:type="lines" w:linePitch="360"/>
        </w:sectPr>
      </w:pPr>
    </w:p>
    <w:p w:rsidR="00A7436E" w:rsidRPr="009F2A4B" w:rsidRDefault="00DB0C74" w:rsidP="00AD0A4E">
      <w:pPr>
        <w:pStyle w:val="1"/>
      </w:pPr>
      <w:bookmarkStart w:id="1" w:name="_Toc405462574"/>
      <w:r w:rsidRPr="009F2A4B">
        <w:rPr>
          <w:rFonts w:hint="eastAsia"/>
        </w:rPr>
        <w:lastRenderedPageBreak/>
        <w:t>目次</w:t>
      </w:r>
      <w:bookmarkEnd w:id="1"/>
    </w:p>
    <w:p w:rsidR="001F1002" w:rsidRPr="00864D77" w:rsidRDefault="00955448">
      <w:pPr>
        <w:pStyle w:val="12"/>
        <w:tabs>
          <w:tab w:val="right" w:leader="dot" w:pos="8296"/>
        </w:tabs>
        <w:rPr>
          <w:rFonts w:ascii="Calibri" w:eastAsia="新細明體" w:hAnsi="Calibri"/>
          <w:noProof/>
          <w:sz w:val="24"/>
          <w:szCs w:val="22"/>
        </w:rPr>
      </w:pPr>
      <w:r w:rsidRPr="004E4F63">
        <w:fldChar w:fldCharType="begin"/>
      </w:r>
      <w:r w:rsidRPr="004E4F63">
        <w:instrText xml:space="preserve"> TOC \o "1-2" \h \z \u </w:instrText>
      </w:r>
      <w:r w:rsidRPr="004E4F63">
        <w:fldChar w:fldCharType="separate"/>
      </w:r>
      <w:hyperlink w:anchor="_Toc405462574" w:history="1">
        <w:r w:rsidR="001F1002" w:rsidRPr="0015262C">
          <w:rPr>
            <w:rStyle w:val="af1"/>
            <w:rFonts w:hint="eastAsia"/>
            <w:noProof/>
          </w:rPr>
          <w:t>目次</w:t>
        </w:r>
        <w:r w:rsidR="001F1002">
          <w:rPr>
            <w:noProof/>
            <w:webHidden/>
          </w:rPr>
          <w:tab/>
        </w:r>
        <w:r w:rsidR="001F1002">
          <w:rPr>
            <w:noProof/>
            <w:webHidden/>
          </w:rPr>
          <w:fldChar w:fldCharType="begin"/>
        </w:r>
        <w:r w:rsidR="001F1002">
          <w:rPr>
            <w:noProof/>
            <w:webHidden/>
          </w:rPr>
          <w:instrText xml:space="preserve"> PAGEREF _Toc405462574 \h </w:instrText>
        </w:r>
        <w:r w:rsidR="001F1002">
          <w:rPr>
            <w:noProof/>
            <w:webHidden/>
          </w:rPr>
        </w:r>
        <w:r w:rsidR="001F1002">
          <w:rPr>
            <w:noProof/>
            <w:webHidden/>
          </w:rPr>
          <w:fldChar w:fldCharType="separate"/>
        </w:r>
        <w:r w:rsidR="00243B8C">
          <w:rPr>
            <w:noProof/>
            <w:webHidden/>
          </w:rPr>
          <w:t>I</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575" w:history="1">
        <w:r w:rsidR="001F1002" w:rsidRPr="0015262C">
          <w:rPr>
            <w:rStyle w:val="af1"/>
            <w:rFonts w:hint="eastAsia"/>
            <w:noProof/>
          </w:rPr>
          <w:t>表次</w:t>
        </w:r>
        <w:r w:rsidR="001F1002">
          <w:rPr>
            <w:noProof/>
            <w:webHidden/>
          </w:rPr>
          <w:tab/>
        </w:r>
        <w:r w:rsidR="001F1002">
          <w:rPr>
            <w:noProof/>
            <w:webHidden/>
          </w:rPr>
          <w:fldChar w:fldCharType="begin"/>
        </w:r>
        <w:r w:rsidR="001F1002">
          <w:rPr>
            <w:noProof/>
            <w:webHidden/>
          </w:rPr>
          <w:instrText xml:space="preserve"> PAGEREF _Toc405462575 \h </w:instrText>
        </w:r>
        <w:r w:rsidR="001F1002">
          <w:rPr>
            <w:noProof/>
            <w:webHidden/>
          </w:rPr>
        </w:r>
        <w:r w:rsidR="001F1002">
          <w:rPr>
            <w:noProof/>
            <w:webHidden/>
          </w:rPr>
          <w:fldChar w:fldCharType="separate"/>
        </w:r>
        <w:r w:rsidR="00243B8C">
          <w:rPr>
            <w:noProof/>
            <w:webHidden/>
          </w:rPr>
          <w:t>III</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576" w:history="1">
        <w:r w:rsidR="001F1002" w:rsidRPr="0015262C">
          <w:rPr>
            <w:rStyle w:val="af1"/>
            <w:rFonts w:hint="eastAsia"/>
            <w:noProof/>
          </w:rPr>
          <w:t>圖次</w:t>
        </w:r>
        <w:r w:rsidR="001F1002">
          <w:rPr>
            <w:noProof/>
            <w:webHidden/>
          </w:rPr>
          <w:tab/>
        </w:r>
        <w:r w:rsidR="001F1002">
          <w:rPr>
            <w:noProof/>
            <w:webHidden/>
          </w:rPr>
          <w:fldChar w:fldCharType="begin"/>
        </w:r>
        <w:r w:rsidR="001F1002">
          <w:rPr>
            <w:noProof/>
            <w:webHidden/>
          </w:rPr>
          <w:instrText xml:space="preserve"> PAGEREF _Toc405462576 \h </w:instrText>
        </w:r>
        <w:r w:rsidR="001F1002">
          <w:rPr>
            <w:noProof/>
            <w:webHidden/>
          </w:rPr>
        </w:r>
        <w:r w:rsidR="001F1002">
          <w:rPr>
            <w:noProof/>
            <w:webHidden/>
          </w:rPr>
          <w:fldChar w:fldCharType="separate"/>
        </w:r>
        <w:r w:rsidR="00243B8C">
          <w:rPr>
            <w:noProof/>
            <w:webHidden/>
          </w:rPr>
          <w:t>V</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577" w:history="1">
        <w:r w:rsidR="001F1002" w:rsidRPr="0015262C">
          <w:rPr>
            <w:rStyle w:val="af1"/>
            <w:rFonts w:hint="eastAsia"/>
            <w:noProof/>
          </w:rPr>
          <w:t>摘　要</w:t>
        </w:r>
        <w:r w:rsidR="001F1002">
          <w:rPr>
            <w:noProof/>
            <w:webHidden/>
          </w:rPr>
          <w:tab/>
        </w:r>
        <w:r w:rsidR="001F1002">
          <w:rPr>
            <w:noProof/>
            <w:webHidden/>
          </w:rPr>
          <w:fldChar w:fldCharType="begin"/>
        </w:r>
        <w:r w:rsidR="001F1002">
          <w:rPr>
            <w:noProof/>
            <w:webHidden/>
          </w:rPr>
          <w:instrText xml:space="preserve"> PAGEREF _Toc405462577 \h </w:instrText>
        </w:r>
        <w:r w:rsidR="001F1002">
          <w:rPr>
            <w:noProof/>
            <w:webHidden/>
          </w:rPr>
        </w:r>
        <w:r w:rsidR="001F1002">
          <w:rPr>
            <w:noProof/>
            <w:webHidden/>
          </w:rPr>
          <w:fldChar w:fldCharType="separate"/>
        </w:r>
        <w:r w:rsidR="00243B8C">
          <w:rPr>
            <w:noProof/>
            <w:webHidden/>
          </w:rPr>
          <w:t>1</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578" w:history="1">
        <w:r w:rsidR="001F1002" w:rsidRPr="0015262C">
          <w:rPr>
            <w:rStyle w:val="af1"/>
            <w:rFonts w:hint="eastAsia"/>
            <w:noProof/>
          </w:rPr>
          <w:t>第一章　緒論</w:t>
        </w:r>
        <w:r w:rsidR="001F1002">
          <w:rPr>
            <w:noProof/>
            <w:webHidden/>
          </w:rPr>
          <w:tab/>
        </w:r>
        <w:r w:rsidR="001F1002">
          <w:rPr>
            <w:noProof/>
            <w:webHidden/>
          </w:rPr>
          <w:fldChar w:fldCharType="begin"/>
        </w:r>
        <w:r w:rsidR="001F1002">
          <w:rPr>
            <w:noProof/>
            <w:webHidden/>
          </w:rPr>
          <w:instrText xml:space="preserve"> PAGEREF _Toc405462578 \h </w:instrText>
        </w:r>
        <w:r w:rsidR="001F1002">
          <w:rPr>
            <w:noProof/>
            <w:webHidden/>
          </w:rPr>
        </w:r>
        <w:r w:rsidR="001F1002">
          <w:rPr>
            <w:noProof/>
            <w:webHidden/>
          </w:rPr>
          <w:fldChar w:fldCharType="separate"/>
        </w:r>
        <w:r w:rsidR="00243B8C">
          <w:rPr>
            <w:noProof/>
            <w:webHidden/>
          </w:rPr>
          <w:t>5</w:t>
        </w:r>
        <w:r w:rsidR="001F1002">
          <w:rPr>
            <w:noProof/>
            <w:webHidden/>
          </w:rPr>
          <w:fldChar w:fldCharType="end"/>
        </w:r>
      </w:hyperlink>
    </w:p>
    <w:p w:rsidR="001F1002" w:rsidRPr="00864D77" w:rsidRDefault="00E74EB3">
      <w:pPr>
        <w:pStyle w:val="21"/>
        <w:rPr>
          <w:rFonts w:ascii="Calibri" w:eastAsia="新細明體" w:hAnsi="Calibri"/>
          <w:sz w:val="24"/>
          <w:szCs w:val="22"/>
        </w:rPr>
      </w:pPr>
      <w:hyperlink w:anchor="_Toc405462579" w:history="1">
        <w:r w:rsidR="001F1002" w:rsidRPr="0015262C">
          <w:rPr>
            <w:rStyle w:val="af1"/>
            <w:rFonts w:hint="eastAsia"/>
          </w:rPr>
          <w:t>第一節　研究緣起與目的</w:t>
        </w:r>
        <w:r w:rsidR="001F1002">
          <w:rPr>
            <w:webHidden/>
          </w:rPr>
          <w:tab/>
        </w:r>
        <w:r w:rsidR="001F1002">
          <w:rPr>
            <w:webHidden/>
          </w:rPr>
          <w:fldChar w:fldCharType="begin"/>
        </w:r>
        <w:r w:rsidR="001F1002">
          <w:rPr>
            <w:webHidden/>
          </w:rPr>
          <w:instrText xml:space="preserve"> PAGEREF _Toc405462579 \h </w:instrText>
        </w:r>
        <w:r w:rsidR="001F1002">
          <w:rPr>
            <w:webHidden/>
          </w:rPr>
        </w:r>
        <w:r w:rsidR="001F1002">
          <w:rPr>
            <w:webHidden/>
          </w:rPr>
          <w:fldChar w:fldCharType="separate"/>
        </w:r>
        <w:r w:rsidR="00243B8C">
          <w:rPr>
            <w:webHidden/>
          </w:rPr>
          <w:t>5</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80" w:history="1">
        <w:r w:rsidR="001F1002" w:rsidRPr="0015262C">
          <w:rPr>
            <w:rStyle w:val="af1"/>
            <w:rFonts w:hint="eastAsia"/>
          </w:rPr>
          <w:t>第二節　研究架構與方法</w:t>
        </w:r>
        <w:r w:rsidR="001F1002">
          <w:rPr>
            <w:webHidden/>
          </w:rPr>
          <w:tab/>
        </w:r>
        <w:r w:rsidR="001F1002">
          <w:rPr>
            <w:webHidden/>
          </w:rPr>
          <w:fldChar w:fldCharType="begin"/>
        </w:r>
        <w:r w:rsidR="001F1002">
          <w:rPr>
            <w:webHidden/>
          </w:rPr>
          <w:instrText xml:space="preserve"> PAGEREF _Toc405462580 \h </w:instrText>
        </w:r>
        <w:r w:rsidR="001F1002">
          <w:rPr>
            <w:webHidden/>
          </w:rPr>
        </w:r>
        <w:r w:rsidR="001F1002">
          <w:rPr>
            <w:webHidden/>
          </w:rPr>
          <w:fldChar w:fldCharType="separate"/>
        </w:r>
        <w:r w:rsidR="00243B8C">
          <w:rPr>
            <w:webHidden/>
          </w:rPr>
          <w:t>8</w:t>
        </w:r>
        <w:r w:rsidR="001F1002">
          <w:rPr>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581" w:history="1">
        <w:r w:rsidR="001F1002" w:rsidRPr="0015262C">
          <w:rPr>
            <w:rStyle w:val="af1"/>
            <w:rFonts w:hint="eastAsia"/>
            <w:noProof/>
            <w:spacing w:val="-4"/>
          </w:rPr>
          <w:t>第二章　習李新政重大改革動向觀察</w:t>
        </w:r>
        <w:r w:rsidR="001F1002">
          <w:rPr>
            <w:noProof/>
            <w:webHidden/>
          </w:rPr>
          <w:tab/>
        </w:r>
        <w:r w:rsidR="001F1002">
          <w:rPr>
            <w:noProof/>
            <w:webHidden/>
          </w:rPr>
          <w:fldChar w:fldCharType="begin"/>
        </w:r>
        <w:r w:rsidR="001F1002">
          <w:rPr>
            <w:noProof/>
            <w:webHidden/>
          </w:rPr>
          <w:instrText xml:space="preserve"> PAGEREF _Toc405462581 \h </w:instrText>
        </w:r>
        <w:r w:rsidR="001F1002">
          <w:rPr>
            <w:noProof/>
            <w:webHidden/>
          </w:rPr>
        </w:r>
        <w:r w:rsidR="001F1002">
          <w:rPr>
            <w:noProof/>
            <w:webHidden/>
          </w:rPr>
          <w:fldChar w:fldCharType="separate"/>
        </w:r>
        <w:r w:rsidR="00243B8C">
          <w:rPr>
            <w:noProof/>
            <w:webHidden/>
          </w:rPr>
          <w:t>11</w:t>
        </w:r>
        <w:r w:rsidR="001F1002">
          <w:rPr>
            <w:noProof/>
            <w:webHidden/>
          </w:rPr>
          <w:fldChar w:fldCharType="end"/>
        </w:r>
      </w:hyperlink>
    </w:p>
    <w:p w:rsidR="001F1002" w:rsidRPr="00864D77" w:rsidRDefault="00E74EB3">
      <w:pPr>
        <w:pStyle w:val="21"/>
        <w:rPr>
          <w:rFonts w:ascii="Calibri" w:eastAsia="新細明體" w:hAnsi="Calibri"/>
          <w:sz w:val="24"/>
          <w:szCs w:val="22"/>
        </w:rPr>
      </w:pPr>
      <w:hyperlink w:anchor="_Toc405462582" w:history="1">
        <w:r w:rsidR="001F1002" w:rsidRPr="0015262C">
          <w:rPr>
            <w:rStyle w:val="af1"/>
            <w:rFonts w:hint="eastAsia"/>
          </w:rPr>
          <w:t>第一節　經濟發展方式調整</w:t>
        </w:r>
        <w:r w:rsidR="001F1002">
          <w:rPr>
            <w:webHidden/>
          </w:rPr>
          <w:tab/>
        </w:r>
        <w:r w:rsidR="001F1002">
          <w:rPr>
            <w:webHidden/>
          </w:rPr>
          <w:fldChar w:fldCharType="begin"/>
        </w:r>
        <w:r w:rsidR="001F1002">
          <w:rPr>
            <w:webHidden/>
          </w:rPr>
          <w:instrText xml:space="preserve"> PAGEREF _Toc405462582 \h </w:instrText>
        </w:r>
        <w:r w:rsidR="001F1002">
          <w:rPr>
            <w:webHidden/>
          </w:rPr>
        </w:r>
        <w:r w:rsidR="001F1002">
          <w:rPr>
            <w:webHidden/>
          </w:rPr>
          <w:fldChar w:fldCharType="separate"/>
        </w:r>
        <w:r w:rsidR="00243B8C">
          <w:rPr>
            <w:webHidden/>
          </w:rPr>
          <w:t>12</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83" w:history="1">
        <w:r w:rsidR="001F1002" w:rsidRPr="0015262C">
          <w:rPr>
            <w:rStyle w:val="af1"/>
            <w:rFonts w:hint="eastAsia"/>
          </w:rPr>
          <w:t>第二節　由十二五規劃展望十三五規劃</w:t>
        </w:r>
        <w:r w:rsidR="001F1002">
          <w:rPr>
            <w:webHidden/>
          </w:rPr>
          <w:tab/>
        </w:r>
        <w:r w:rsidR="001F1002">
          <w:rPr>
            <w:webHidden/>
          </w:rPr>
          <w:fldChar w:fldCharType="begin"/>
        </w:r>
        <w:r w:rsidR="001F1002">
          <w:rPr>
            <w:webHidden/>
          </w:rPr>
          <w:instrText xml:space="preserve"> PAGEREF _Toc405462583 \h </w:instrText>
        </w:r>
        <w:r w:rsidR="001F1002">
          <w:rPr>
            <w:webHidden/>
          </w:rPr>
        </w:r>
        <w:r w:rsidR="001F1002">
          <w:rPr>
            <w:webHidden/>
          </w:rPr>
          <w:fldChar w:fldCharType="separate"/>
        </w:r>
        <w:r w:rsidR="00243B8C">
          <w:rPr>
            <w:webHidden/>
          </w:rPr>
          <w:t>20</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84" w:history="1">
        <w:r w:rsidR="001F1002" w:rsidRPr="0015262C">
          <w:rPr>
            <w:rStyle w:val="af1"/>
            <w:rFonts w:hint="eastAsia"/>
          </w:rPr>
          <w:t>第三節　新型城鎮化規劃</w:t>
        </w:r>
        <w:r w:rsidR="001F1002">
          <w:rPr>
            <w:webHidden/>
          </w:rPr>
          <w:tab/>
        </w:r>
        <w:r w:rsidR="001F1002">
          <w:rPr>
            <w:webHidden/>
          </w:rPr>
          <w:fldChar w:fldCharType="begin"/>
        </w:r>
        <w:r w:rsidR="001F1002">
          <w:rPr>
            <w:webHidden/>
          </w:rPr>
          <w:instrText xml:space="preserve"> PAGEREF _Toc405462584 \h </w:instrText>
        </w:r>
        <w:r w:rsidR="001F1002">
          <w:rPr>
            <w:webHidden/>
          </w:rPr>
        </w:r>
        <w:r w:rsidR="001F1002">
          <w:rPr>
            <w:webHidden/>
          </w:rPr>
          <w:fldChar w:fldCharType="separate"/>
        </w:r>
        <w:r w:rsidR="00243B8C">
          <w:rPr>
            <w:webHidden/>
          </w:rPr>
          <w:t>28</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85" w:history="1">
        <w:r w:rsidR="001F1002" w:rsidRPr="0015262C">
          <w:rPr>
            <w:rStyle w:val="af1"/>
            <w:rFonts w:hint="eastAsia"/>
          </w:rPr>
          <w:t>第四節　重點區域發展規劃</w:t>
        </w:r>
        <w:r w:rsidR="001F1002">
          <w:rPr>
            <w:webHidden/>
          </w:rPr>
          <w:tab/>
        </w:r>
        <w:r w:rsidR="001F1002">
          <w:rPr>
            <w:webHidden/>
          </w:rPr>
          <w:fldChar w:fldCharType="begin"/>
        </w:r>
        <w:r w:rsidR="001F1002">
          <w:rPr>
            <w:webHidden/>
          </w:rPr>
          <w:instrText xml:space="preserve"> PAGEREF _Toc405462585 \h </w:instrText>
        </w:r>
        <w:r w:rsidR="001F1002">
          <w:rPr>
            <w:webHidden/>
          </w:rPr>
        </w:r>
        <w:r w:rsidR="001F1002">
          <w:rPr>
            <w:webHidden/>
          </w:rPr>
          <w:fldChar w:fldCharType="separate"/>
        </w:r>
        <w:r w:rsidR="00243B8C">
          <w:rPr>
            <w:webHidden/>
          </w:rPr>
          <w:t>36</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86" w:history="1">
        <w:r w:rsidR="001F1002" w:rsidRPr="0015262C">
          <w:rPr>
            <w:rStyle w:val="af1"/>
            <w:rFonts w:hint="eastAsia"/>
          </w:rPr>
          <w:t>第五節　小結</w:t>
        </w:r>
        <w:r w:rsidR="001F1002">
          <w:rPr>
            <w:webHidden/>
          </w:rPr>
          <w:tab/>
        </w:r>
        <w:r w:rsidR="001F1002">
          <w:rPr>
            <w:webHidden/>
          </w:rPr>
          <w:fldChar w:fldCharType="begin"/>
        </w:r>
        <w:r w:rsidR="001F1002">
          <w:rPr>
            <w:webHidden/>
          </w:rPr>
          <w:instrText xml:space="preserve"> PAGEREF _Toc405462586 \h </w:instrText>
        </w:r>
        <w:r w:rsidR="001F1002">
          <w:rPr>
            <w:webHidden/>
          </w:rPr>
        </w:r>
        <w:r w:rsidR="001F1002">
          <w:rPr>
            <w:webHidden/>
          </w:rPr>
          <w:fldChar w:fldCharType="separate"/>
        </w:r>
        <w:r w:rsidR="00243B8C">
          <w:rPr>
            <w:webHidden/>
          </w:rPr>
          <w:t>45</w:t>
        </w:r>
        <w:r w:rsidR="001F1002">
          <w:rPr>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587" w:history="1">
        <w:r w:rsidR="001F1002" w:rsidRPr="0015262C">
          <w:rPr>
            <w:rStyle w:val="af1"/>
            <w:rFonts w:hint="eastAsia"/>
            <w:noProof/>
          </w:rPr>
          <w:t>第三章　稅制調整下生產性服務業之發展</w:t>
        </w:r>
        <w:r w:rsidR="001F1002">
          <w:rPr>
            <w:noProof/>
            <w:webHidden/>
          </w:rPr>
          <w:tab/>
        </w:r>
        <w:r w:rsidR="001F1002">
          <w:rPr>
            <w:noProof/>
            <w:webHidden/>
          </w:rPr>
          <w:fldChar w:fldCharType="begin"/>
        </w:r>
        <w:r w:rsidR="001F1002">
          <w:rPr>
            <w:noProof/>
            <w:webHidden/>
          </w:rPr>
          <w:instrText xml:space="preserve"> PAGEREF _Toc405462587 \h </w:instrText>
        </w:r>
        <w:r w:rsidR="001F1002">
          <w:rPr>
            <w:noProof/>
            <w:webHidden/>
          </w:rPr>
        </w:r>
        <w:r w:rsidR="001F1002">
          <w:rPr>
            <w:noProof/>
            <w:webHidden/>
          </w:rPr>
          <w:fldChar w:fldCharType="separate"/>
        </w:r>
        <w:r w:rsidR="00243B8C">
          <w:rPr>
            <w:noProof/>
            <w:webHidden/>
          </w:rPr>
          <w:t>49</w:t>
        </w:r>
        <w:r w:rsidR="001F1002">
          <w:rPr>
            <w:noProof/>
            <w:webHidden/>
          </w:rPr>
          <w:fldChar w:fldCharType="end"/>
        </w:r>
      </w:hyperlink>
    </w:p>
    <w:p w:rsidR="001F1002" w:rsidRPr="00864D77" w:rsidRDefault="00E74EB3">
      <w:pPr>
        <w:pStyle w:val="21"/>
        <w:rPr>
          <w:rFonts w:ascii="Calibri" w:eastAsia="新細明體" w:hAnsi="Calibri"/>
          <w:sz w:val="24"/>
          <w:szCs w:val="22"/>
        </w:rPr>
      </w:pPr>
      <w:hyperlink w:anchor="_Toc405462588" w:history="1">
        <w:r w:rsidR="001F1002" w:rsidRPr="0015262C">
          <w:rPr>
            <w:rStyle w:val="af1"/>
            <w:rFonts w:hint="eastAsia"/>
          </w:rPr>
          <w:t>第一節</w:t>
        </w:r>
        <w:r w:rsidR="001F1002" w:rsidRPr="0015262C">
          <w:rPr>
            <w:rStyle w:val="af1"/>
          </w:rPr>
          <w:t xml:space="preserve"> </w:t>
        </w:r>
        <w:r w:rsidR="001F1002" w:rsidRPr="0015262C">
          <w:rPr>
            <w:rStyle w:val="af1"/>
            <w:rFonts w:hint="eastAsia"/>
          </w:rPr>
          <w:t>營改增試點推動概況</w:t>
        </w:r>
        <w:r w:rsidR="001F1002">
          <w:rPr>
            <w:webHidden/>
          </w:rPr>
          <w:tab/>
        </w:r>
        <w:r w:rsidR="001F1002">
          <w:rPr>
            <w:webHidden/>
          </w:rPr>
          <w:fldChar w:fldCharType="begin"/>
        </w:r>
        <w:r w:rsidR="001F1002">
          <w:rPr>
            <w:webHidden/>
          </w:rPr>
          <w:instrText xml:space="preserve"> PAGEREF _Toc405462588 \h </w:instrText>
        </w:r>
        <w:r w:rsidR="001F1002">
          <w:rPr>
            <w:webHidden/>
          </w:rPr>
        </w:r>
        <w:r w:rsidR="001F1002">
          <w:rPr>
            <w:webHidden/>
          </w:rPr>
          <w:fldChar w:fldCharType="separate"/>
        </w:r>
        <w:r w:rsidR="00243B8C">
          <w:rPr>
            <w:webHidden/>
          </w:rPr>
          <w:t>51</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89" w:history="1">
        <w:r w:rsidR="001F1002" w:rsidRPr="0015262C">
          <w:rPr>
            <w:rStyle w:val="af1"/>
            <w:rFonts w:hint="eastAsia"/>
          </w:rPr>
          <w:t>第二節</w:t>
        </w:r>
        <w:r w:rsidR="001F1002" w:rsidRPr="0015262C">
          <w:rPr>
            <w:rStyle w:val="af1"/>
          </w:rPr>
          <w:t xml:space="preserve"> </w:t>
        </w:r>
        <w:r w:rsidR="001F1002" w:rsidRPr="0015262C">
          <w:rPr>
            <w:rStyle w:val="af1"/>
            <w:rFonts w:hint="eastAsia"/>
          </w:rPr>
          <w:t>營改增對企業經營之影響</w:t>
        </w:r>
        <w:r w:rsidR="001F1002">
          <w:rPr>
            <w:webHidden/>
          </w:rPr>
          <w:tab/>
        </w:r>
        <w:r w:rsidR="001F1002">
          <w:rPr>
            <w:webHidden/>
          </w:rPr>
          <w:fldChar w:fldCharType="begin"/>
        </w:r>
        <w:r w:rsidR="001F1002">
          <w:rPr>
            <w:webHidden/>
          </w:rPr>
          <w:instrText xml:space="preserve"> PAGEREF _Toc405462589 \h </w:instrText>
        </w:r>
        <w:r w:rsidR="001F1002">
          <w:rPr>
            <w:webHidden/>
          </w:rPr>
        </w:r>
        <w:r w:rsidR="001F1002">
          <w:rPr>
            <w:webHidden/>
          </w:rPr>
          <w:fldChar w:fldCharType="separate"/>
        </w:r>
        <w:r w:rsidR="00243B8C">
          <w:rPr>
            <w:webHidden/>
          </w:rPr>
          <w:t>60</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90" w:history="1">
        <w:r w:rsidR="001F1002" w:rsidRPr="0015262C">
          <w:rPr>
            <w:rStyle w:val="af1"/>
            <w:rFonts w:hint="eastAsia"/>
          </w:rPr>
          <w:t>第三節</w:t>
        </w:r>
        <w:r w:rsidR="001F1002" w:rsidRPr="0015262C">
          <w:rPr>
            <w:rStyle w:val="af1"/>
          </w:rPr>
          <w:t xml:space="preserve"> </w:t>
        </w:r>
        <w:r w:rsidR="001F1002" w:rsidRPr="0015262C">
          <w:rPr>
            <w:rStyle w:val="af1"/>
            <w:rFonts w:hint="eastAsia"/>
          </w:rPr>
          <w:t>小結</w:t>
        </w:r>
        <w:r w:rsidR="001F1002">
          <w:rPr>
            <w:webHidden/>
          </w:rPr>
          <w:tab/>
        </w:r>
        <w:r w:rsidR="001F1002">
          <w:rPr>
            <w:webHidden/>
          </w:rPr>
          <w:fldChar w:fldCharType="begin"/>
        </w:r>
        <w:r w:rsidR="001F1002">
          <w:rPr>
            <w:webHidden/>
          </w:rPr>
          <w:instrText xml:space="preserve"> PAGEREF _Toc405462590 \h </w:instrText>
        </w:r>
        <w:r w:rsidR="001F1002">
          <w:rPr>
            <w:webHidden/>
          </w:rPr>
        </w:r>
        <w:r w:rsidR="001F1002">
          <w:rPr>
            <w:webHidden/>
          </w:rPr>
          <w:fldChar w:fldCharType="separate"/>
        </w:r>
        <w:r w:rsidR="00243B8C">
          <w:rPr>
            <w:webHidden/>
          </w:rPr>
          <w:t>66</w:t>
        </w:r>
        <w:r w:rsidR="001F1002">
          <w:rPr>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591" w:history="1">
        <w:r w:rsidR="001F1002" w:rsidRPr="0015262C">
          <w:rPr>
            <w:rStyle w:val="af1"/>
            <w:rFonts w:hint="eastAsia"/>
            <w:noProof/>
          </w:rPr>
          <w:t>第四章　中國大陸對外開放及區域經貿戰略之調整</w:t>
        </w:r>
        <w:r w:rsidR="001F1002">
          <w:rPr>
            <w:noProof/>
            <w:webHidden/>
          </w:rPr>
          <w:tab/>
        </w:r>
        <w:r w:rsidR="001F1002">
          <w:rPr>
            <w:noProof/>
            <w:webHidden/>
          </w:rPr>
          <w:fldChar w:fldCharType="begin"/>
        </w:r>
        <w:r w:rsidR="001F1002">
          <w:rPr>
            <w:noProof/>
            <w:webHidden/>
          </w:rPr>
          <w:instrText xml:space="preserve"> PAGEREF _Toc405462591 \h </w:instrText>
        </w:r>
        <w:r w:rsidR="001F1002">
          <w:rPr>
            <w:noProof/>
            <w:webHidden/>
          </w:rPr>
        </w:r>
        <w:r w:rsidR="001F1002">
          <w:rPr>
            <w:noProof/>
            <w:webHidden/>
          </w:rPr>
          <w:fldChar w:fldCharType="separate"/>
        </w:r>
        <w:r w:rsidR="00243B8C">
          <w:rPr>
            <w:noProof/>
            <w:webHidden/>
          </w:rPr>
          <w:t>71</w:t>
        </w:r>
        <w:r w:rsidR="001F1002">
          <w:rPr>
            <w:noProof/>
            <w:webHidden/>
          </w:rPr>
          <w:fldChar w:fldCharType="end"/>
        </w:r>
      </w:hyperlink>
    </w:p>
    <w:p w:rsidR="001F1002" w:rsidRPr="00864D77" w:rsidRDefault="00E74EB3">
      <w:pPr>
        <w:pStyle w:val="21"/>
        <w:rPr>
          <w:rFonts w:ascii="Calibri" w:eastAsia="新細明體" w:hAnsi="Calibri"/>
          <w:sz w:val="24"/>
          <w:szCs w:val="22"/>
        </w:rPr>
      </w:pPr>
      <w:hyperlink w:anchor="_Toc405462592" w:history="1">
        <w:r w:rsidR="001F1002" w:rsidRPr="0015262C">
          <w:rPr>
            <w:rStyle w:val="af1"/>
            <w:rFonts w:hint="eastAsia"/>
          </w:rPr>
          <w:t>第一節　海陸絲綢之路戰略</w:t>
        </w:r>
        <w:r w:rsidR="001F1002">
          <w:rPr>
            <w:webHidden/>
          </w:rPr>
          <w:tab/>
        </w:r>
        <w:r w:rsidR="001F1002">
          <w:rPr>
            <w:webHidden/>
          </w:rPr>
          <w:fldChar w:fldCharType="begin"/>
        </w:r>
        <w:r w:rsidR="001F1002">
          <w:rPr>
            <w:webHidden/>
          </w:rPr>
          <w:instrText xml:space="preserve"> PAGEREF _Toc405462592 \h </w:instrText>
        </w:r>
        <w:r w:rsidR="001F1002">
          <w:rPr>
            <w:webHidden/>
          </w:rPr>
        </w:r>
        <w:r w:rsidR="001F1002">
          <w:rPr>
            <w:webHidden/>
          </w:rPr>
          <w:fldChar w:fldCharType="separate"/>
        </w:r>
        <w:r w:rsidR="00243B8C">
          <w:rPr>
            <w:webHidden/>
          </w:rPr>
          <w:t>73</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93" w:history="1">
        <w:r w:rsidR="001F1002" w:rsidRPr="0015262C">
          <w:rPr>
            <w:rStyle w:val="af1"/>
            <w:rFonts w:hint="eastAsia"/>
          </w:rPr>
          <w:t>第二節　區域經貿戰略動向</w:t>
        </w:r>
        <w:r w:rsidR="001F1002">
          <w:rPr>
            <w:webHidden/>
          </w:rPr>
          <w:tab/>
        </w:r>
        <w:r w:rsidR="001F1002">
          <w:rPr>
            <w:webHidden/>
          </w:rPr>
          <w:fldChar w:fldCharType="begin"/>
        </w:r>
        <w:r w:rsidR="001F1002">
          <w:rPr>
            <w:webHidden/>
          </w:rPr>
          <w:instrText xml:space="preserve"> PAGEREF _Toc405462593 \h </w:instrText>
        </w:r>
        <w:r w:rsidR="001F1002">
          <w:rPr>
            <w:webHidden/>
          </w:rPr>
        </w:r>
        <w:r w:rsidR="001F1002">
          <w:rPr>
            <w:webHidden/>
          </w:rPr>
          <w:fldChar w:fldCharType="separate"/>
        </w:r>
        <w:r w:rsidR="00243B8C">
          <w:rPr>
            <w:webHidden/>
          </w:rPr>
          <w:t>88</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94" w:history="1">
        <w:r w:rsidR="001F1002" w:rsidRPr="0015262C">
          <w:rPr>
            <w:rStyle w:val="af1"/>
            <w:rFonts w:hint="eastAsia"/>
          </w:rPr>
          <w:t>第三節　自貿區試驗探索對外開放</w:t>
        </w:r>
        <w:r w:rsidR="001F1002">
          <w:rPr>
            <w:webHidden/>
          </w:rPr>
          <w:tab/>
        </w:r>
        <w:r w:rsidR="001F1002">
          <w:rPr>
            <w:webHidden/>
          </w:rPr>
          <w:fldChar w:fldCharType="begin"/>
        </w:r>
        <w:r w:rsidR="001F1002">
          <w:rPr>
            <w:webHidden/>
          </w:rPr>
          <w:instrText xml:space="preserve"> PAGEREF _Toc405462594 \h </w:instrText>
        </w:r>
        <w:r w:rsidR="001F1002">
          <w:rPr>
            <w:webHidden/>
          </w:rPr>
        </w:r>
        <w:r w:rsidR="001F1002">
          <w:rPr>
            <w:webHidden/>
          </w:rPr>
          <w:fldChar w:fldCharType="separate"/>
        </w:r>
        <w:r w:rsidR="00243B8C">
          <w:rPr>
            <w:webHidden/>
          </w:rPr>
          <w:t>94</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95" w:history="1">
        <w:r w:rsidR="001F1002" w:rsidRPr="0015262C">
          <w:rPr>
            <w:rStyle w:val="af1"/>
            <w:rFonts w:hint="eastAsia"/>
          </w:rPr>
          <w:t>第四節　小結</w:t>
        </w:r>
        <w:r w:rsidR="001F1002">
          <w:rPr>
            <w:webHidden/>
          </w:rPr>
          <w:tab/>
        </w:r>
        <w:r w:rsidR="001F1002">
          <w:rPr>
            <w:webHidden/>
          </w:rPr>
          <w:fldChar w:fldCharType="begin"/>
        </w:r>
        <w:r w:rsidR="001F1002">
          <w:rPr>
            <w:webHidden/>
          </w:rPr>
          <w:instrText xml:space="preserve"> PAGEREF _Toc405462595 \h </w:instrText>
        </w:r>
        <w:r w:rsidR="001F1002">
          <w:rPr>
            <w:webHidden/>
          </w:rPr>
        </w:r>
        <w:r w:rsidR="001F1002">
          <w:rPr>
            <w:webHidden/>
          </w:rPr>
          <w:fldChar w:fldCharType="separate"/>
        </w:r>
        <w:r w:rsidR="00243B8C">
          <w:rPr>
            <w:webHidden/>
          </w:rPr>
          <w:t>103</w:t>
        </w:r>
        <w:r w:rsidR="001F1002">
          <w:rPr>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596" w:history="1">
        <w:r w:rsidR="001F1002" w:rsidRPr="0015262C">
          <w:rPr>
            <w:rStyle w:val="af1"/>
            <w:rFonts w:hint="eastAsia"/>
            <w:noProof/>
          </w:rPr>
          <w:t>第五章　自動化趨勢對兩岸製造業競爭之影響</w:t>
        </w:r>
        <w:r w:rsidR="001F1002">
          <w:rPr>
            <w:noProof/>
            <w:webHidden/>
          </w:rPr>
          <w:tab/>
        </w:r>
        <w:r w:rsidR="001F1002">
          <w:rPr>
            <w:noProof/>
            <w:webHidden/>
          </w:rPr>
          <w:fldChar w:fldCharType="begin"/>
        </w:r>
        <w:r w:rsidR="001F1002">
          <w:rPr>
            <w:noProof/>
            <w:webHidden/>
          </w:rPr>
          <w:instrText xml:space="preserve"> PAGEREF _Toc405462596 \h </w:instrText>
        </w:r>
        <w:r w:rsidR="001F1002">
          <w:rPr>
            <w:noProof/>
            <w:webHidden/>
          </w:rPr>
        </w:r>
        <w:r w:rsidR="001F1002">
          <w:rPr>
            <w:noProof/>
            <w:webHidden/>
          </w:rPr>
          <w:fldChar w:fldCharType="separate"/>
        </w:r>
        <w:r w:rsidR="00243B8C">
          <w:rPr>
            <w:noProof/>
            <w:webHidden/>
          </w:rPr>
          <w:t>107</w:t>
        </w:r>
        <w:r w:rsidR="001F1002">
          <w:rPr>
            <w:noProof/>
            <w:webHidden/>
          </w:rPr>
          <w:fldChar w:fldCharType="end"/>
        </w:r>
      </w:hyperlink>
    </w:p>
    <w:p w:rsidR="001F1002" w:rsidRPr="00864D77" w:rsidRDefault="00E74EB3">
      <w:pPr>
        <w:pStyle w:val="21"/>
        <w:rPr>
          <w:rFonts w:ascii="Calibri" w:eastAsia="新細明體" w:hAnsi="Calibri"/>
          <w:sz w:val="24"/>
          <w:szCs w:val="22"/>
        </w:rPr>
      </w:pPr>
      <w:hyperlink w:anchor="_Toc405462597" w:history="1">
        <w:r w:rsidR="001F1002" w:rsidRPr="0015262C">
          <w:rPr>
            <w:rStyle w:val="af1"/>
            <w:rFonts w:hint="eastAsia"/>
          </w:rPr>
          <w:t>第一節　全球趨勢下中國大陸自動化發展</w:t>
        </w:r>
        <w:r w:rsidR="001F1002">
          <w:rPr>
            <w:webHidden/>
          </w:rPr>
          <w:tab/>
        </w:r>
        <w:r w:rsidR="001F1002">
          <w:rPr>
            <w:webHidden/>
          </w:rPr>
          <w:fldChar w:fldCharType="begin"/>
        </w:r>
        <w:r w:rsidR="001F1002">
          <w:rPr>
            <w:webHidden/>
          </w:rPr>
          <w:instrText xml:space="preserve"> PAGEREF _Toc405462597 \h </w:instrText>
        </w:r>
        <w:r w:rsidR="001F1002">
          <w:rPr>
            <w:webHidden/>
          </w:rPr>
        </w:r>
        <w:r w:rsidR="001F1002">
          <w:rPr>
            <w:webHidden/>
          </w:rPr>
          <w:fldChar w:fldCharType="separate"/>
        </w:r>
        <w:r w:rsidR="00243B8C">
          <w:rPr>
            <w:webHidden/>
          </w:rPr>
          <w:t>108</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98" w:history="1">
        <w:r w:rsidR="001F1002" w:rsidRPr="0015262C">
          <w:rPr>
            <w:rStyle w:val="af1"/>
            <w:rFonts w:hint="eastAsia"/>
          </w:rPr>
          <w:t>第二節　兩岸自動化趨勢探討</w:t>
        </w:r>
        <w:r w:rsidR="001F1002">
          <w:rPr>
            <w:webHidden/>
          </w:rPr>
          <w:tab/>
        </w:r>
        <w:r w:rsidR="001F1002">
          <w:rPr>
            <w:webHidden/>
          </w:rPr>
          <w:fldChar w:fldCharType="begin"/>
        </w:r>
        <w:r w:rsidR="001F1002">
          <w:rPr>
            <w:webHidden/>
          </w:rPr>
          <w:instrText xml:space="preserve"> PAGEREF _Toc405462598 \h </w:instrText>
        </w:r>
        <w:r w:rsidR="001F1002">
          <w:rPr>
            <w:webHidden/>
          </w:rPr>
        </w:r>
        <w:r w:rsidR="001F1002">
          <w:rPr>
            <w:webHidden/>
          </w:rPr>
          <w:fldChar w:fldCharType="separate"/>
        </w:r>
        <w:r w:rsidR="00243B8C">
          <w:rPr>
            <w:webHidden/>
          </w:rPr>
          <w:t>127</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599" w:history="1">
        <w:r w:rsidR="001F1002" w:rsidRPr="0015262C">
          <w:rPr>
            <w:rStyle w:val="af1"/>
            <w:rFonts w:hint="eastAsia"/>
          </w:rPr>
          <w:t>第三節　臺灣面臨的機會與挑戰</w:t>
        </w:r>
        <w:r w:rsidR="001F1002">
          <w:rPr>
            <w:webHidden/>
          </w:rPr>
          <w:tab/>
        </w:r>
        <w:r w:rsidR="001F1002">
          <w:rPr>
            <w:webHidden/>
          </w:rPr>
          <w:fldChar w:fldCharType="begin"/>
        </w:r>
        <w:r w:rsidR="001F1002">
          <w:rPr>
            <w:webHidden/>
          </w:rPr>
          <w:instrText xml:space="preserve"> PAGEREF _Toc405462599 \h </w:instrText>
        </w:r>
        <w:r w:rsidR="001F1002">
          <w:rPr>
            <w:webHidden/>
          </w:rPr>
        </w:r>
        <w:r w:rsidR="001F1002">
          <w:rPr>
            <w:webHidden/>
          </w:rPr>
          <w:fldChar w:fldCharType="separate"/>
        </w:r>
        <w:r w:rsidR="00243B8C">
          <w:rPr>
            <w:webHidden/>
          </w:rPr>
          <w:t>142</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600" w:history="1">
        <w:r w:rsidR="001F1002" w:rsidRPr="0015262C">
          <w:rPr>
            <w:rStyle w:val="af1"/>
            <w:rFonts w:hint="eastAsia"/>
          </w:rPr>
          <w:t>第四節　小結</w:t>
        </w:r>
        <w:r w:rsidR="001F1002">
          <w:rPr>
            <w:webHidden/>
          </w:rPr>
          <w:tab/>
        </w:r>
        <w:r w:rsidR="001F1002">
          <w:rPr>
            <w:webHidden/>
          </w:rPr>
          <w:fldChar w:fldCharType="begin"/>
        </w:r>
        <w:r w:rsidR="001F1002">
          <w:rPr>
            <w:webHidden/>
          </w:rPr>
          <w:instrText xml:space="preserve"> PAGEREF _Toc405462600 \h </w:instrText>
        </w:r>
        <w:r w:rsidR="001F1002">
          <w:rPr>
            <w:webHidden/>
          </w:rPr>
        </w:r>
        <w:r w:rsidR="001F1002">
          <w:rPr>
            <w:webHidden/>
          </w:rPr>
          <w:fldChar w:fldCharType="separate"/>
        </w:r>
        <w:r w:rsidR="00243B8C">
          <w:rPr>
            <w:webHidden/>
          </w:rPr>
          <w:t>152</w:t>
        </w:r>
        <w:r w:rsidR="001F1002">
          <w:rPr>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01" w:history="1">
        <w:r w:rsidR="001F1002" w:rsidRPr="0015262C">
          <w:rPr>
            <w:rStyle w:val="af1"/>
            <w:rFonts w:hint="eastAsia"/>
            <w:noProof/>
          </w:rPr>
          <w:t>第六章　結論與建議</w:t>
        </w:r>
        <w:r w:rsidR="001F1002">
          <w:rPr>
            <w:noProof/>
            <w:webHidden/>
          </w:rPr>
          <w:tab/>
        </w:r>
        <w:r w:rsidR="001F1002">
          <w:rPr>
            <w:noProof/>
            <w:webHidden/>
          </w:rPr>
          <w:fldChar w:fldCharType="begin"/>
        </w:r>
        <w:r w:rsidR="001F1002">
          <w:rPr>
            <w:noProof/>
            <w:webHidden/>
          </w:rPr>
          <w:instrText xml:space="preserve"> PAGEREF _Toc405462601 \h </w:instrText>
        </w:r>
        <w:r w:rsidR="001F1002">
          <w:rPr>
            <w:noProof/>
            <w:webHidden/>
          </w:rPr>
        </w:r>
        <w:r w:rsidR="001F1002">
          <w:rPr>
            <w:noProof/>
            <w:webHidden/>
          </w:rPr>
          <w:fldChar w:fldCharType="separate"/>
        </w:r>
        <w:r w:rsidR="00243B8C">
          <w:rPr>
            <w:noProof/>
            <w:webHidden/>
          </w:rPr>
          <w:t>155</w:t>
        </w:r>
        <w:r w:rsidR="001F1002">
          <w:rPr>
            <w:noProof/>
            <w:webHidden/>
          </w:rPr>
          <w:fldChar w:fldCharType="end"/>
        </w:r>
      </w:hyperlink>
    </w:p>
    <w:p w:rsidR="001F1002" w:rsidRPr="00864D77" w:rsidRDefault="00E74EB3">
      <w:pPr>
        <w:pStyle w:val="21"/>
        <w:rPr>
          <w:rFonts w:ascii="Calibri" w:eastAsia="新細明體" w:hAnsi="Calibri"/>
          <w:sz w:val="24"/>
          <w:szCs w:val="22"/>
        </w:rPr>
      </w:pPr>
      <w:hyperlink w:anchor="_Toc405462602" w:history="1">
        <w:r w:rsidR="001F1002" w:rsidRPr="0015262C">
          <w:rPr>
            <w:rStyle w:val="af1"/>
            <w:rFonts w:hint="eastAsia"/>
          </w:rPr>
          <w:t>第一節　結論</w:t>
        </w:r>
        <w:r w:rsidR="001F1002">
          <w:rPr>
            <w:webHidden/>
          </w:rPr>
          <w:tab/>
        </w:r>
        <w:r w:rsidR="001F1002">
          <w:rPr>
            <w:webHidden/>
          </w:rPr>
          <w:fldChar w:fldCharType="begin"/>
        </w:r>
        <w:r w:rsidR="001F1002">
          <w:rPr>
            <w:webHidden/>
          </w:rPr>
          <w:instrText xml:space="preserve"> PAGEREF _Toc405462602 \h </w:instrText>
        </w:r>
        <w:r w:rsidR="001F1002">
          <w:rPr>
            <w:webHidden/>
          </w:rPr>
        </w:r>
        <w:r w:rsidR="001F1002">
          <w:rPr>
            <w:webHidden/>
          </w:rPr>
          <w:fldChar w:fldCharType="separate"/>
        </w:r>
        <w:r w:rsidR="00243B8C">
          <w:rPr>
            <w:webHidden/>
          </w:rPr>
          <w:t>155</w:t>
        </w:r>
        <w:r w:rsidR="001F1002">
          <w:rPr>
            <w:webHidden/>
          </w:rPr>
          <w:fldChar w:fldCharType="end"/>
        </w:r>
      </w:hyperlink>
    </w:p>
    <w:p w:rsidR="001F1002" w:rsidRPr="00864D77" w:rsidRDefault="00E74EB3">
      <w:pPr>
        <w:pStyle w:val="21"/>
        <w:rPr>
          <w:rFonts w:ascii="Calibri" w:eastAsia="新細明體" w:hAnsi="Calibri"/>
          <w:sz w:val="24"/>
          <w:szCs w:val="22"/>
        </w:rPr>
      </w:pPr>
      <w:hyperlink w:anchor="_Toc405462603" w:history="1">
        <w:r w:rsidR="001F1002" w:rsidRPr="0015262C">
          <w:rPr>
            <w:rStyle w:val="af1"/>
            <w:rFonts w:hint="eastAsia"/>
          </w:rPr>
          <w:t>第二節　政策建議</w:t>
        </w:r>
        <w:r w:rsidR="001F1002">
          <w:rPr>
            <w:webHidden/>
          </w:rPr>
          <w:tab/>
        </w:r>
        <w:r w:rsidR="001F1002">
          <w:rPr>
            <w:webHidden/>
          </w:rPr>
          <w:fldChar w:fldCharType="begin"/>
        </w:r>
        <w:r w:rsidR="001F1002">
          <w:rPr>
            <w:webHidden/>
          </w:rPr>
          <w:instrText xml:space="preserve"> PAGEREF _Toc405462603 \h </w:instrText>
        </w:r>
        <w:r w:rsidR="001F1002">
          <w:rPr>
            <w:webHidden/>
          </w:rPr>
        </w:r>
        <w:r w:rsidR="001F1002">
          <w:rPr>
            <w:webHidden/>
          </w:rPr>
          <w:fldChar w:fldCharType="separate"/>
        </w:r>
        <w:r w:rsidR="00243B8C">
          <w:rPr>
            <w:webHidden/>
          </w:rPr>
          <w:t>159</w:t>
        </w:r>
        <w:r w:rsidR="001F1002">
          <w:rPr>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04" w:history="1">
        <w:r w:rsidR="001F1002" w:rsidRPr="0015262C">
          <w:rPr>
            <w:rStyle w:val="af1"/>
            <w:rFonts w:hint="eastAsia"/>
            <w:noProof/>
          </w:rPr>
          <w:t>參考文獻</w:t>
        </w:r>
        <w:r w:rsidR="001F1002">
          <w:rPr>
            <w:noProof/>
            <w:webHidden/>
          </w:rPr>
          <w:tab/>
        </w:r>
        <w:r w:rsidR="001F1002">
          <w:rPr>
            <w:noProof/>
            <w:webHidden/>
          </w:rPr>
          <w:fldChar w:fldCharType="begin"/>
        </w:r>
        <w:r w:rsidR="001F1002">
          <w:rPr>
            <w:noProof/>
            <w:webHidden/>
          </w:rPr>
          <w:instrText xml:space="preserve"> PAGEREF _Toc405462604 \h </w:instrText>
        </w:r>
        <w:r w:rsidR="001F1002">
          <w:rPr>
            <w:noProof/>
            <w:webHidden/>
          </w:rPr>
        </w:r>
        <w:r w:rsidR="001F1002">
          <w:rPr>
            <w:noProof/>
            <w:webHidden/>
          </w:rPr>
          <w:fldChar w:fldCharType="separate"/>
        </w:r>
        <w:r w:rsidR="00243B8C">
          <w:rPr>
            <w:noProof/>
            <w:webHidden/>
          </w:rPr>
          <w:t>165</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05" w:history="1">
        <w:r w:rsidR="001F1002" w:rsidRPr="0015262C">
          <w:rPr>
            <w:rStyle w:val="af1"/>
            <w:rFonts w:hint="eastAsia"/>
            <w:noProof/>
          </w:rPr>
          <w:t>附錄一、訪談紀錄</w:t>
        </w:r>
        <w:r w:rsidR="001F1002">
          <w:rPr>
            <w:noProof/>
            <w:webHidden/>
          </w:rPr>
          <w:tab/>
        </w:r>
        <w:r w:rsidR="001F1002">
          <w:rPr>
            <w:noProof/>
            <w:webHidden/>
          </w:rPr>
          <w:fldChar w:fldCharType="begin"/>
        </w:r>
        <w:r w:rsidR="001F1002">
          <w:rPr>
            <w:noProof/>
            <w:webHidden/>
          </w:rPr>
          <w:instrText xml:space="preserve"> PAGEREF _Toc405462605 \h </w:instrText>
        </w:r>
        <w:r w:rsidR="001F1002">
          <w:rPr>
            <w:noProof/>
            <w:webHidden/>
          </w:rPr>
        </w:r>
        <w:r w:rsidR="001F1002">
          <w:rPr>
            <w:noProof/>
            <w:webHidden/>
          </w:rPr>
          <w:fldChar w:fldCharType="separate"/>
        </w:r>
        <w:r w:rsidR="00243B8C">
          <w:rPr>
            <w:noProof/>
            <w:webHidden/>
          </w:rPr>
          <w:t>173</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06" w:history="1">
        <w:r w:rsidR="001F1002" w:rsidRPr="0015262C">
          <w:rPr>
            <w:rStyle w:val="af1"/>
            <w:rFonts w:hint="eastAsia"/>
            <w:noProof/>
          </w:rPr>
          <w:t>附錄二、出差考察報告</w:t>
        </w:r>
        <w:r w:rsidR="001F1002">
          <w:rPr>
            <w:noProof/>
            <w:webHidden/>
          </w:rPr>
          <w:tab/>
        </w:r>
        <w:r w:rsidR="001F1002">
          <w:rPr>
            <w:noProof/>
            <w:webHidden/>
          </w:rPr>
          <w:fldChar w:fldCharType="begin"/>
        </w:r>
        <w:r w:rsidR="001F1002">
          <w:rPr>
            <w:noProof/>
            <w:webHidden/>
          </w:rPr>
          <w:instrText xml:space="preserve"> PAGEREF _Toc405462606 \h </w:instrText>
        </w:r>
        <w:r w:rsidR="001F1002">
          <w:rPr>
            <w:noProof/>
            <w:webHidden/>
          </w:rPr>
        </w:r>
        <w:r w:rsidR="001F1002">
          <w:rPr>
            <w:noProof/>
            <w:webHidden/>
          </w:rPr>
          <w:fldChar w:fldCharType="separate"/>
        </w:r>
        <w:r w:rsidR="00243B8C">
          <w:rPr>
            <w:noProof/>
            <w:webHidden/>
          </w:rPr>
          <w:t>185</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07" w:history="1">
        <w:r w:rsidR="001F1002" w:rsidRPr="0015262C">
          <w:rPr>
            <w:rStyle w:val="af1"/>
            <w:rFonts w:hint="eastAsia"/>
            <w:noProof/>
          </w:rPr>
          <w:t>附錄三　期末審查意見及辦理情形</w:t>
        </w:r>
        <w:r w:rsidR="001F1002">
          <w:rPr>
            <w:noProof/>
            <w:webHidden/>
          </w:rPr>
          <w:tab/>
        </w:r>
        <w:r w:rsidR="001F1002">
          <w:rPr>
            <w:noProof/>
            <w:webHidden/>
          </w:rPr>
          <w:fldChar w:fldCharType="begin"/>
        </w:r>
        <w:r w:rsidR="001F1002">
          <w:rPr>
            <w:noProof/>
            <w:webHidden/>
          </w:rPr>
          <w:instrText xml:space="preserve"> PAGEREF _Toc405462607 \h </w:instrText>
        </w:r>
        <w:r w:rsidR="001F1002">
          <w:rPr>
            <w:noProof/>
            <w:webHidden/>
          </w:rPr>
        </w:r>
        <w:r w:rsidR="001F1002">
          <w:rPr>
            <w:noProof/>
            <w:webHidden/>
          </w:rPr>
          <w:fldChar w:fldCharType="separate"/>
        </w:r>
        <w:r w:rsidR="00243B8C">
          <w:rPr>
            <w:noProof/>
            <w:webHidden/>
          </w:rPr>
          <w:t>193</w:t>
        </w:r>
        <w:r w:rsidR="001F1002">
          <w:rPr>
            <w:noProof/>
            <w:webHidden/>
          </w:rPr>
          <w:fldChar w:fldCharType="end"/>
        </w:r>
      </w:hyperlink>
    </w:p>
    <w:p w:rsidR="00AE4CDA" w:rsidRPr="009F2A4B" w:rsidRDefault="00955448" w:rsidP="00955448">
      <w:pPr>
        <w:sectPr w:rsidR="00AE4CDA" w:rsidRPr="009F2A4B" w:rsidSect="007F31F6">
          <w:footerReference w:type="default" r:id="rId10"/>
          <w:type w:val="oddPage"/>
          <w:pgSz w:w="11906" w:h="16838"/>
          <w:pgMar w:top="1440" w:right="1800" w:bottom="1440" w:left="1800" w:header="851" w:footer="992" w:gutter="0"/>
          <w:pgNumType w:fmt="upperRoman" w:start="1"/>
          <w:cols w:space="425"/>
          <w:docGrid w:type="lines" w:linePitch="360"/>
        </w:sectPr>
      </w:pPr>
      <w:r w:rsidRPr="004E4F63">
        <w:fldChar w:fldCharType="end"/>
      </w:r>
    </w:p>
    <w:p w:rsidR="00AE4CDA" w:rsidRPr="009F2A4B" w:rsidRDefault="00DB0C74" w:rsidP="00AD0A4E">
      <w:pPr>
        <w:pStyle w:val="1"/>
      </w:pPr>
      <w:bookmarkStart w:id="2" w:name="_Toc405462575"/>
      <w:r w:rsidRPr="009F2A4B">
        <w:rPr>
          <w:rFonts w:hint="eastAsia"/>
        </w:rPr>
        <w:lastRenderedPageBreak/>
        <w:t>表次</w:t>
      </w:r>
      <w:bookmarkEnd w:id="2"/>
    </w:p>
    <w:p w:rsidR="001F1002" w:rsidRPr="00864D77" w:rsidRDefault="00AE4CDA">
      <w:pPr>
        <w:pStyle w:val="12"/>
        <w:tabs>
          <w:tab w:val="right" w:leader="dot" w:pos="8296"/>
        </w:tabs>
        <w:rPr>
          <w:rFonts w:ascii="Calibri" w:eastAsia="新細明體" w:hAnsi="Calibri"/>
          <w:noProof/>
          <w:sz w:val="24"/>
          <w:szCs w:val="22"/>
        </w:rPr>
      </w:pPr>
      <w:r w:rsidRPr="009F2A4B">
        <w:fldChar w:fldCharType="begin"/>
      </w:r>
      <w:r w:rsidRPr="009F2A4B">
        <w:instrText xml:space="preserve"> TOC \h \z \t "</w:instrText>
      </w:r>
      <w:r w:rsidRPr="009F2A4B">
        <w:instrText>表次</w:instrText>
      </w:r>
      <w:r w:rsidRPr="009F2A4B">
        <w:instrText xml:space="preserve">,1" </w:instrText>
      </w:r>
      <w:r w:rsidRPr="009F2A4B">
        <w:fldChar w:fldCharType="separate"/>
      </w:r>
      <w:hyperlink w:anchor="_Toc405462608" w:history="1">
        <w:r w:rsidR="001F1002" w:rsidRPr="00CE00F5">
          <w:rPr>
            <w:rStyle w:val="af1"/>
            <w:rFonts w:hint="eastAsia"/>
            <w:noProof/>
          </w:rPr>
          <w:t>表</w:t>
        </w:r>
        <w:r w:rsidR="001F1002" w:rsidRPr="00CE00F5">
          <w:rPr>
            <w:rStyle w:val="af1"/>
            <w:noProof/>
          </w:rPr>
          <w:t>2-1</w:t>
        </w:r>
        <w:r w:rsidR="001F1002" w:rsidRPr="00CE00F5">
          <w:rPr>
            <w:rStyle w:val="af1"/>
            <w:rFonts w:hint="eastAsia"/>
            <w:noProof/>
          </w:rPr>
          <w:t xml:space="preserve">　中國大陸全國與各省</w:t>
        </w:r>
        <w:r w:rsidR="001F1002" w:rsidRPr="00CE00F5">
          <w:rPr>
            <w:rStyle w:val="af1"/>
            <w:noProof/>
          </w:rPr>
          <w:t>GDP</w:t>
        </w:r>
        <w:r w:rsidR="001F1002" w:rsidRPr="00CE00F5">
          <w:rPr>
            <w:rStyle w:val="af1"/>
            <w:rFonts w:hint="eastAsia"/>
            <w:noProof/>
          </w:rPr>
          <w:t>成長目標與實際值：</w:t>
        </w:r>
        <w:r w:rsidR="001F1002" w:rsidRPr="00CE00F5">
          <w:rPr>
            <w:rStyle w:val="af1"/>
            <w:noProof/>
          </w:rPr>
          <w:t>2013-2014</w:t>
        </w:r>
        <w:r w:rsidR="001F1002" w:rsidRPr="00CE00F5">
          <w:rPr>
            <w:rStyle w:val="af1"/>
            <w:rFonts w:hint="eastAsia"/>
            <w:noProof/>
          </w:rPr>
          <w:t>年</w:t>
        </w:r>
        <w:r w:rsidR="001F1002">
          <w:rPr>
            <w:noProof/>
            <w:webHidden/>
          </w:rPr>
          <w:tab/>
        </w:r>
        <w:r w:rsidR="001F1002">
          <w:rPr>
            <w:noProof/>
            <w:webHidden/>
          </w:rPr>
          <w:fldChar w:fldCharType="begin"/>
        </w:r>
        <w:r w:rsidR="001F1002">
          <w:rPr>
            <w:noProof/>
            <w:webHidden/>
          </w:rPr>
          <w:instrText xml:space="preserve"> PAGEREF _Toc405462608 \h </w:instrText>
        </w:r>
        <w:r w:rsidR="001F1002">
          <w:rPr>
            <w:noProof/>
            <w:webHidden/>
          </w:rPr>
        </w:r>
        <w:r w:rsidR="001F1002">
          <w:rPr>
            <w:noProof/>
            <w:webHidden/>
          </w:rPr>
          <w:fldChar w:fldCharType="separate"/>
        </w:r>
        <w:r w:rsidR="00243B8C">
          <w:rPr>
            <w:noProof/>
            <w:webHidden/>
          </w:rPr>
          <w:t>15</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09" w:history="1">
        <w:r w:rsidR="001F1002" w:rsidRPr="00CE00F5">
          <w:rPr>
            <w:rStyle w:val="af1"/>
            <w:rFonts w:hint="eastAsia"/>
            <w:noProof/>
          </w:rPr>
          <w:t>表</w:t>
        </w:r>
        <w:r w:rsidR="001F1002" w:rsidRPr="00CE00F5">
          <w:rPr>
            <w:rStyle w:val="af1"/>
            <w:noProof/>
          </w:rPr>
          <w:t>2-2</w:t>
        </w:r>
        <w:r w:rsidR="001F1002" w:rsidRPr="00CE00F5">
          <w:rPr>
            <w:rStyle w:val="af1"/>
            <w:rFonts w:hint="eastAsia"/>
            <w:noProof/>
          </w:rPr>
          <w:t xml:space="preserve">　新型城鎮化主要指標</w:t>
        </w:r>
        <w:r w:rsidR="001F1002">
          <w:rPr>
            <w:noProof/>
            <w:webHidden/>
          </w:rPr>
          <w:tab/>
        </w:r>
        <w:r w:rsidR="001F1002">
          <w:rPr>
            <w:noProof/>
            <w:webHidden/>
          </w:rPr>
          <w:fldChar w:fldCharType="begin"/>
        </w:r>
        <w:r w:rsidR="001F1002">
          <w:rPr>
            <w:noProof/>
            <w:webHidden/>
          </w:rPr>
          <w:instrText xml:space="preserve"> PAGEREF _Toc405462609 \h </w:instrText>
        </w:r>
        <w:r w:rsidR="001F1002">
          <w:rPr>
            <w:noProof/>
            <w:webHidden/>
          </w:rPr>
        </w:r>
        <w:r w:rsidR="001F1002">
          <w:rPr>
            <w:noProof/>
            <w:webHidden/>
          </w:rPr>
          <w:fldChar w:fldCharType="separate"/>
        </w:r>
        <w:r w:rsidR="00243B8C">
          <w:rPr>
            <w:noProof/>
            <w:webHidden/>
          </w:rPr>
          <w:t>34</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10" w:history="1">
        <w:r w:rsidR="001F1002" w:rsidRPr="00CE00F5">
          <w:rPr>
            <w:rStyle w:val="af1"/>
            <w:rFonts w:hint="eastAsia"/>
            <w:noProof/>
          </w:rPr>
          <w:t>表</w:t>
        </w:r>
        <w:r w:rsidR="001F1002" w:rsidRPr="00CE00F5">
          <w:rPr>
            <w:rStyle w:val="af1"/>
            <w:noProof/>
          </w:rPr>
          <w:t xml:space="preserve">3-1  </w:t>
        </w:r>
        <w:r w:rsidR="001F1002" w:rsidRPr="00CE00F5">
          <w:rPr>
            <w:rStyle w:val="af1"/>
            <w:rFonts w:hint="eastAsia"/>
            <w:noProof/>
          </w:rPr>
          <w:t>營改增政策試點進度表</w:t>
        </w:r>
        <w:r w:rsidR="001F1002">
          <w:rPr>
            <w:noProof/>
            <w:webHidden/>
          </w:rPr>
          <w:tab/>
        </w:r>
        <w:r w:rsidR="001F1002">
          <w:rPr>
            <w:noProof/>
            <w:webHidden/>
          </w:rPr>
          <w:fldChar w:fldCharType="begin"/>
        </w:r>
        <w:r w:rsidR="001F1002">
          <w:rPr>
            <w:noProof/>
            <w:webHidden/>
          </w:rPr>
          <w:instrText xml:space="preserve"> PAGEREF _Toc405462610 \h </w:instrText>
        </w:r>
        <w:r w:rsidR="001F1002">
          <w:rPr>
            <w:noProof/>
            <w:webHidden/>
          </w:rPr>
        </w:r>
        <w:r w:rsidR="001F1002">
          <w:rPr>
            <w:noProof/>
            <w:webHidden/>
          </w:rPr>
          <w:fldChar w:fldCharType="separate"/>
        </w:r>
        <w:r w:rsidR="00243B8C">
          <w:rPr>
            <w:noProof/>
            <w:webHidden/>
          </w:rPr>
          <w:t>52</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11" w:history="1">
        <w:r w:rsidR="001F1002" w:rsidRPr="00CE00F5">
          <w:rPr>
            <w:rStyle w:val="af1"/>
            <w:rFonts w:hint="eastAsia"/>
            <w:noProof/>
          </w:rPr>
          <w:t>表</w:t>
        </w:r>
        <w:r w:rsidR="001F1002" w:rsidRPr="00CE00F5">
          <w:rPr>
            <w:rStyle w:val="af1"/>
            <w:noProof/>
          </w:rPr>
          <w:t xml:space="preserve">3-2  </w:t>
        </w:r>
        <w:r w:rsidR="001F1002" w:rsidRPr="00CE00F5">
          <w:rPr>
            <w:rStyle w:val="af1"/>
            <w:rFonts w:hint="eastAsia"/>
            <w:noProof/>
          </w:rPr>
          <w:t>受營改增影響之服務業</w:t>
        </w:r>
        <w:r w:rsidR="001F1002">
          <w:rPr>
            <w:noProof/>
            <w:webHidden/>
          </w:rPr>
          <w:tab/>
        </w:r>
        <w:r w:rsidR="001F1002">
          <w:rPr>
            <w:noProof/>
            <w:webHidden/>
          </w:rPr>
          <w:fldChar w:fldCharType="begin"/>
        </w:r>
        <w:r w:rsidR="001F1002">
          <w:rPr>
            <w:noProof/>
            <w:webHidden/>
          </w:rPr>
          <w:instrText xml:space="preserve"> PAGEREF _Toc405462611 \h </w:instrText>
        </w:r>
        <w:r w:rsidR="001F1002">
          <w:rPr>
            <w:noProof/>
            <w:webHidden/>
          </w:rPr>
        </w:r>
        <w:r w:rsidR="001F1002">
          <w:rPr>
            <w:noProof/>
            <w:webHidden/>
          </w:rPr>
          <w:fldChar w:fldCharType="separate"/>
        </w:r>
        <w:r w:rsidR="00243B8C">
          <w:rPr>
            <w:noProof/>
            <w:webHidden/>
          </w:rPr>
          <w:t>56</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12" w:history="1">
        <w:r w:rsidR="001F1002" w:rsidRPr="00CE00F5">
          <w:rPr>
            <w:rStyle w:val="af1"/>
            <w:rFonts w:hint="eastAsia"/>
            <w:noProof/>
          </w:rPr>
          <w:t>表</w:t>
        </w:r>
        <w:r w:rsidR="001F1002" w:rsidRPr="00CE00F5">
          <w:rPr>
            <w:rStyle w:val="af1"/>
            <w:noProof/>
          </w:rPr>
          <w:t>5-1</w:t>
        </w:r>
        <w:r w:rsidR="001F1002" w:rsidRPr="00CE00F5">
          <w:rPr>
            <w:rStyle w:val="af1"/>
            <w:rFonts w:hint="eastAsia"/>
            <w:noProof/>
          </w:rPr>
          <w:t xml:space="preserve">　中國大陸中央自動化和機器人產業政策</w:t>
        </w:r>
        <w:r w:rsidR="001F1002">
          <w:rPr>
            <w:noProof/>
            <w:webHidden/>
          </w:rPr>
          <w:tab/>
        </w:r>
        <w:r w:rsidR="001F1002">
          <w:rPr>
            <w:noProof/>
            <w:webHidden/>
          </w:rPr>
          <w:fldChar w:fldCharType="begin"/>
        </w:r>
        <w:r w:rsidR="001F1002">
          <w:rPr>
            <w:noProof/>
            <w:webHidden/>
          </w:rPr>
          <w:instrText xml:space="preserve"> PAGEREF _Toc405462612 \h </w:instrText>
        </w:r>
        <w:r w:rsidR="001F1002">
          <w:rPr>
            <w:noProof/>
            <w:webHidden/>
          </w:rPr>
        </w:r>
        <w:r w:rsidR="001F1002">
          <w:rPr>
            <w:noProof/>
            <w:webHidden/>
          </w:rPr>
          <w:fldChar w:fldCharType="separate"/>
        </w:r>
        <w:r w:rsidR="00243B8C">
          <w:rPr>
            <w:noProof/>
            <w:webHidden/>
          </w:rPr>
          <w:t>120</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13" w:history="1">
        <w:r w:rsidR="001F1002" w:rsidRPr="00CE00F5">
          <w:rPr>
            <w:rStyle w:val="af1"/>
            <w:rFonts w:hint="eastAsia"/>
            <w:noProof/>
          </w:rPr>
          <w:t>表</w:t>
        </w:r>
        <w:r w:rsidR="001F1002" w:rsidRPr="00CE00F5">
          <w:rPr>
            <w:rStyle w:val="af1"/>
            <w:noProof/>
          </w:rPr>
          <w:t>5-2</w:t>
        </w:r>
        <w:r w:rsidR="001F1002" w:rsidRPr="00CE00F5">
          <w:rPr>
            <w:rStyle w:val="af1"/>
            <w:rFonts w:hint="eastAsia"/>
            <w:noProof/>
          </w:rPr>
          <w:t xml:space="preserve">　中國大陸地方自動化和機器人產業規劃現況</w:t>
        </w:r>
        <w:r w:rsidR="001F1002">
          <w:rPr>
            <w:noProof/>
            <w:webHidden/>
          </w:rPr>
          <w:tab/>
        </w:r>
        <w:r w:rsidR="001F1002">
          <w:rPr>
            <w:noProof/>
            <w:webHidden/>
          </w:rPr>
          <w:fldChar w:fldCharType="begin"/>
        </w:r>
        <w:r w:rsidR="001F1002">
          <w:rPr>
            <w:noProof/>
            <w:webHidden/>
          </w:rPr>
          <w:instrText xml:space="preserve"> PAGEREF _Toc405462613 \h </w:instrText>
        </w:r>
        <w:r w:rsidR="001F1002">
          <w:rPr>
            <w:noProof/>
            <w:webHidden/>
          </w:rPr>
        </w:r>
        <w:r w:rsidR="001F1002">
          <w:rPr>
            <w:noProof/>
            <w:webHidden/>
          </w:rPr>
          <w:fldChar w:fldCharType="separate"/>
        </w:r>
        <w:r w:rsidR="00243B8C">
          <w:rPr>
            <w:noProof/>
            <w:webHidden/>
          </w:rPr>
          <w:t>122</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14" w:history="1">
        <w:r w:rsidR="001F1002" w:rsidRPr="00CE00F5">
          <w:rPr>
            <w:rStyle w:val="af1"/>
            <w:rFonts w:hint="eastAsia"/>
            <w:noProof/>
          </w:rPr>
          <w:t>表</w:t>
        </w:r>
        <w:r w:rsidR="001F1002" w:rsidRPr="00CE00F5">
          <w:rPr>
            <w:rStyle w:val="af1"/>
            <w:noProof/>
          </w:rPr>
          <w:t>5-3</w:t>
        </w:r>
        <w:r w:rsidR="001F1002" w:rsidRPr="00CE00F5">
          <w:rPr>
            <w:rStyle w:val="af1"/>
            <w:rFonts w:hint="eastAsia"/>
            <w:noProof/>
          </w:rPr>
          <w:t xml:space="preserve">　中國大陸自動化趨勢對中國大陸臺商、臺灣自動化產業和製造業之機會與挑戰</w:t>
        </w:r>
        <w:r w:rsidR="001F1002">
          <w:rPr>
            <w:noProof/>
            <w:webHidden/>
          </w:rPr>
          <w:tab/>
        </w:r>
        <w:r w:rsidR="001F1002">
          <w:rPr>
            <w:noProof/>
            <w:webHidden/>
          </w:rPr>
          <w:fldChar w:fldCharType="begin"/>
        </w:r>
        <w:r w:rsidR="001F1002">
          <w:rPr>
            <w:noProof/>
            <w:webHidden/>
          </w:rPr>
          <w:instrText xml:space="preserve"> PAGEREF _Toc405462614 \h </w:instrText>
        </w:r>
        <w:r w:rsidR="001F1002">
          <w:rPr>
            <w:noProof/>
            <w:webHidden/>
          </w:rPr>
        </w:r>
        <w:r w:rsidR="001F1002">
          <w:rPr>
            <w:noProof/>
            <w:webHidden/>
          </w:rPr>
          <w:fldChar w:fldCharType="separate"/>
        </w:r>
        <w:r w:rsidR="00243B8C">
          <w:rPr>
            <w:noProof/>
            <w:webHidden/>
          </w:rPr>
          <w:t>147</w:t>
        </w:r>
        <w:r w:rsidR="001F1002">
          <w:rPr>
            <w:noProof/>
            <w:webHidden/>
          </w:rPr>
          <w:fldChar w:fldCharType="end"/>
        </w:r>
      </w:hyperlink>
    </w:p>
    <w:p w:rsidR="00AE4CDA" w:rsidRPr="009F2A4B" w:rsidRDefault="00AE4CDA">
      <w:pPr>
        <w:sectPr w:rsidR="00AE4CDA" w:rsidRPr="009F2A4B" w:rsidSect="00C82B73">
          <w:type w:val="oddPage"/>
          <w:pgSz w:w="11906" w:h="16838"/>
          <w:pgMar w:top="1440" w:right="1800" w:bottom="1440" w:left="1800" w:header="851" w:footer="992" w:gutter="0"/>
          <w:pgNumType w:fmt="upperRoman"/>
          <w:cols w:space="425"/>
          <w:docGrid w:type="lines" w:linePitch="360"/>
        </w:sectPr>
      </w:pPr>
      <w:r w:rsidRPr="009F2A4B">
        <w:fldChar w:fldCharType="end"/>
      </w:r>
      <w:r w:rsidR="00DB0C74" w:rsidRPr="009F2A4B">
        <w:t xml:space="preserve"> </w:t>
      </w:r>
    </w:p>
    <w:p w:rsidR="00AE4CDA" w:rsidRPr="009F2A4B" w:rsidRDefault="00DB0C74" w:rsidP="00AD0A4E">
      <w:pPr>
        <w:pStyle w:val="1"/>
      </w:pPr>
      <w:bookmarkStart w:id="3" w:name="_Toc405462576"/>
      <w:r w:rsidRPr="009F2A4B">
        <w:rPr>
          <w:rFonts w:hint="eastAsia"/>
        </w:rPr>
        <w:lastRenderedPageBreak/>
        <w:t>圖次</w:t>
      </w:r>
      <w:bookmarkEnd w:id="3"/>
    </w:p>
    <w:p w:rsidR="001F1002" w:rsidRPr="00864D77" w:rsidRDefault="00AE4CDA">
      <w:pPr>
        <w:pStyle w:val="12"/>
        <w:tabs>
          <w:tab w:val="right" w:leader="dot" w:pos="8296"/>
        </w:tabs>
        <w:rPr>
          <w:rFonts w:ascii="Calibri" w:eastAsia="新細明體" w:hAnsi="Calibri"/>
          <w:noProof/>
          <w:sz w:val="24"/>
          <w:szCs w:val="22"/>
        </w:rPr>
      </w:pPr>
      <w:r w:rsidRPr="00EC1A26">
        <w:rPr>
          <w:rStyle w:val="af1"/>
          <w:noProof/>
        </w:rPr>
        <w:fldChar w:fldCharType="begin"/>
      </w:r>
      <w:r w:rsidRPr="00EC1A26">
        <w:rPr>
          <w:rStyle w:val="af1"/>
          <w:noProof/>
        </w:rPr>
        <w:instrText xml:space="preserve"> TOC \h \z \t "</w:instrText>
      </w:r>
      <w:r w:rsidRPr="00EC1A26">
        <w:rPr>
          <w:rStyle w:val="af1"/>
          <w:noProof/>
        </w:rPr>
        <w:instrText>圖次</w:instrText>
      </w:r>
      <w:r w:rsidRPr="00EC1A26">
        <w:rPr>
          <w:rStyle w:val="af1"/>
          <w:noProof/>
        </w:rPr>
        <w:instrText xml:space="preserve">,1" </w:instrText>
      </w:r>
      <w:r w:rsidRPr="00EC1A26">
        <w:rPr>
          <w:rStyle w:val="af1"/>
          <w:noProof/>
        </w:rPr>
        <w:fldChar w:fldCharType="separate"/>
      </w:r>
      <w:hyperlink w:anchor="_Toc405462615" w:history="1">
        <w:r w:rsidR="001F1002" w:rsidRPr="002648D8">
          <w:rPr>
            <w:rStyle w:val="af1"/>
            <w:rFonts w:hint="eastAsia"/>
            <w:noProof/>
          </w:rPr>
          <w:t>圖</w:t>
        </w:r>
        <w:r w:rsidR="001F1002" w:rsidRPr="002648D8">
          <w:rPr>
            <w:rStyle w:val="af1"/>
            <w:noProof/>
          </w:rPr>
          <w:t>1-1</w:t>
        </w:r>
        <w:r w:rsidR="001F1002" w:rsidRPr="002648D8">
          <w:rPr>
            <w:rStyle w:val="af1"/>
            <w:rFonts w:hint="eastAsia"/>
            <w:noProof/>
          </w:rPr>
          <w:t xml:space="preserve">　研究架構圖</w:t>
        </w:r>
        <w:r w:rsidR="001F1002">
          <w:rPr>
            <w:noProof/>
            <w:webHidden/>
          </w:rPr>
          <w:tab/>
        </w:r>
        <w:r w:rsidR="001F1002">
          <w:rPr>
            <w:noProof/>
            <w:webHidden/>
          </w:rPr>
          <w:fldChar w:fldCharType="begin"/>
        </w:r>
        <w:r w:rsidR="001F1002">
          <w:rPr>
            <w:noProof/>
            <w:webHidden/>
          </w:rPr>
          <w:instrText xml:space="preserve"> PAGEREF _Toc405462615 \h </w:instrText>
        </w:r>
        <w:r w:rsidR="001F1002">
          <w:rPr>
            <w:noProof/>
            <w:webHidden/>
          </w:rPr>
        </w:r>
        <w:r w:rsidR="001F1002">
          <w:rPr>
            <w:noProof/>
            <w:webHidden/>
          </w:rPr>
          <w:fldChar w:fldCharType="separate"/>
        </w:r>
        <w:r w:rsidR="00243B8C">
          <w:rPr>
            <w:noProof/>
            <w:webHidden/>
          </w:rPr>
          <w:t>8</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16" w:history="1">
        <w:r w:rsidR="001F1002" w:rsidRPr="002648D8">
          <w:rPr>
            <w:rStyle w:val="af1"/>
            <w:rFonts w:hint="eastAsia"/>
            <w:noProof/>
          </w:rPr>
          <w:t>圖</w:t>
        </w:r>
        <w:r w:rsidR="001F1002" w:rsidRPr="002648D8">
          <w:rPr>
            <w:rStyle w:val="af1"/>
            <w:noProof/>
          </w:rPr>
          <w:t>2-1</w:t>
        </w:r>
        <w:r w:rsidR="001F1002" w:rsidRPr="002648D8">
          <w:rPr>
            <w:rStyle w:val="af1"/>
            <w:rFonts w:hint="eastAsia"/>
            <w:noProof/>
          </w:rPr>
          <w:t xml:space="preserve">　中國大陸每季</w:t>
        </w:r>
        <w:r w:rsidR="001F1002" w:rsidRPr="002648D8">
          <w:rPr>
            <w:rStyle w:val="af1"/>
            <w:noProof/>
          </w:rPr>
          <w:t>GDP</w:t>
        </w:r>
        <w:r w:rsidR="001F1002" w:rsidRPr="002648D8">
          <w:rPr>
            <w:rStyle w:val="af1"/>
            <w:rFonts w:hint="eastAsia"/>
            <w:noProof/>
          </w:rPr>
          <w:t>及其成長率：</w:t>
        </w:r>
        <w:r w:rsidR="001F1002" w:rsidRPr="002648D8">
          <w:rPr>
            <w:rStyle w:val="af1"/>
            <w:noProof/>
          </w:rPr>
          <w:t>2013-2014/9</w:t>
        </w:r>
        <w:r w:rsidR="001F1002" w:rsidRPr="002648D8">
          <w:rPr>
            <w:rStyle w:val="af1"/>
            <w:rFonts w:hint="eastAsia"/>
            <w:noProof/>
          </w:rPr>
          <w:t>月</w:t>
        </w:r>
        <w:r w:rsidR="001F1002">
          <w:rPr>
            <w:noProof/>
            <w:webHidden/>
          </w:rPr>
          <w:tab/>
        </w:r>
        <w:r w:rsidR="001F1002">
          <w:rPr>
            <w:noProof/>
            <w:webHidden/>
          </w:rPr>
          <w:fldChar w:fldCharType="begin"/>
        </w:r>
        <w:r w:rsidR="001F1002">
          <w:rPr>
            <w:noProof/>
            <w:webHidden/>
          </w:rPr>
          <w:instrText xml:space="preserve"> PAGEREF _Toc405462616 \h </w:instrText>
        </w:r>
        <w:r w:rsidR="001F1002">
          <w:rPr>
            <w:noProof/>
            <w:webHidden/>
          </w:rPr>
        </w:r>
        <w:r w:rsidR="001F1002">
          <w:rPr>
            <w:noProof/>
            <w:webHidden/>
          </w:rPr>
          <w:fldChar w:fldCharType="separate"/>
        </w:r>
        <w:r w:rsidR="00243B8C">
          <w:rPr>
            <w:noProof/>
            <w:webHidden/>
          </w:rPr>
          <w:t>17</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17" w:history="1">
        <w:r w:rsidR="001F1002" w:rsidRPr="002648D8">
          <w:rPr>
            <w:rStyle w:val="af1"/>
            <w:rFonts w:hint="eastAsia"/>
            <w:noProof/>
          </w:rPr>
          <w:t>圖</w:t>
        </w:r>
        <w:r w:rsidR="001F1002" w:rsidRPr="002648D8">
          <w:rPr>
            <w:rStyle w:val="af1"/>
            <w:noProof/>
          </w:rPr>
          <w:t>2-2</w:t>
        </w:r>
        <w:r w:rsidR="001F1002" w:rsidRPr="002648D8">
          <w:rPr>
            <w:rStyle w:val="af1"/>
            <w:rFonts w:hint="eastAsia"/>
            <w:noProof/>
          </w:rPr>
          <w:t xml:space="preserve">　中國大陸消費者物價指數：</w:t>
        </w:r>
        <w:r w:rsidR="001F1002" w:rsidRPr="002648D8">
          <w:rPr>
            <w:rStyle w:val="af1"/>
            <w:noProof/>
          </w:rPr>
          <w:t>2013/9-2014/9</w:t>
        </w:r>
        <w:r w:rsidR="001F1002" w:rsidRPr="002648D8">
          <w:rPr>
            <w:rStyle w:val="af1"/>
            <w:rFonts w:hint="eastAsia"/>
            <w:noProof/>
          </w:rPr>
          <w:t>月</w:t>
        </w:r>
        <w:r w:rsidR="001F1002">
          <w:rPr>
            <w:noProof/>
            <w:webHidden/>
          </w:rPr>
          <w:tab/>
        </w:r>
        <w:r w:rsidR="001F1002">
          <w:rPr>
            <w:noProof/>
            <w:webHidden/>
          </w:rPr>
          <w:fldChar w:fldCharType="begin"/>
        </w:r>
        <w:r w:rsidR="001F1002">
          <w:rPr>
            <w:noProof/>
            <w:webHidden/>
          </w:rPr>
          <w:instrText xml:space="preserve"> PAGEREF _Toc405462617 \h </w:instrText>
        </w:r>
        <w:r w:rsidR="001F1002">
          <w:rPr>
            <w:noProof/>
            <w:webHidden/>
          </w:rPr>
        </w:r>
        <w:r w:rsidR="001F1002">
          <w:rPr>
            <w:noProof/>
            <w:webHidden/>
          </w:rPr>
          <w:fldChar w:fldCharType="separate"/>
        </w:r>
        <w:r w:rsidR="00243B8C">
          <w:rPr>
            <w:noProof/>
            <w:webHidden/>
          </w:rPr>
          <w:t>19</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18" w:history="1">
        <w:r w:rsidR="001F1002" w:rsidRPr="002648D8">
          <w:rPr>
            <w:rStyle w:val="af1"/>
            <w:rFonts w:hint="eastAsia"/>
            <w:noProof/>
          </w:rPr>
          <w:t>圖</w:t>
        </w:r>
        <w:r w:rsidR="001F1002" w:rsidRPr="002648D8">
          <w:rPr>
            <w:rStyle w:val="af1"/>
            <w:noProof/>
          </w:rPr>
          <w:t>2-3</w:t>
        </w:r>
        <w:r w:rsidR="001F1002" w:rsidRPr="002648D8">
          <w:rPr>
            <w:rStyle w:val="af1"/>
            <w:rFonts w:hint="eastAsia"/>
            <w:noProof/>
          </w:rPr>
          <w:t xml:space="preserve">　中國大陸常住與戶籍人口城鎮化率：</w:t>
        </w:r>
        <w:r w:rsidR="001F1002" w:rsidRPr="002648D8">
          <w:rPr>
            <w:rStyle w:val="af1"/>
            <w:noProof/>
          </w:rPr>
          <w:t>1978-2013</w:t>
        </w:r>
        <w:r w:rsidR="001F1002" w:rsidRPr="002648D8">
          <w:rPr>
            <w:rStyle w:val="af1"/>
            <w:rFonts w:hint="eastAsia"/>
            <w:noProof/>
          </w:rPr>
          <w:t>年</w:t>
        </w:r>
        <w:r w:rsidR="001F1002">
          <w:rPr>
            <w:noProof/>
            <w:webHidden/>
          </w:rPr>
          <w:tab/>
        </w:r>
        <w:r w:rsidR="001F1002">
          <w:rPr>
            <w:noProof/>
            <w:webHidden/>
          </w:rPr>
          <w:fldChar w:fldCharType="begin"/>
        </w:r>
        <w:r w:rsidR="001F1002">
          <w:rPr>
            <w:noProof/>
            <w:webHidden/>
          </w:rPr>
          <w:instrText xml:space="preserve"> PAGEREF _Toc405462618 \h </w:instrText>
        </w:r>
        <w:r w:rsidR="001F1002">
          <w:rPr>
            <w:noProof/>
            <w:webHidden/>
          </w:rPr>
        </w:r>
        <w:r w:rsidR="001F1002">
          <w:rPr>
            <w:noProof/>
            <w:webHidden/>
          </w:rPr>
          <w:fldChar w:fldCharType="separate"/>
        </w:r>
        <w:r w:rsidR="00243B8C">
          <w:rPr>
            <w:noProof/>
            <w:webHidden/>
          </w:rPr>
          <w:t>30</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19" w:history="1">
        <w:r w:rsidR="001F1002" w:rsidRPr="002648D8">
          <w:rPr>
            <w:rStyle w:val="af1"/>
            <w:rFonts w:hint="eastAsia"/>
            <w:noProof/>
          </w:rPr>
          <w:t>圖</w:t>
        </w:r>
        <w:r w:rsidR="001F1002" w:rsidRPr="002648D8">
          <w:rPr>
            <w:rStyle w:val="af1"/>
            <w:noProof/>
          </w:rPr>
          <w:t>2-4</w:t>
        </w:r>
        <w:r w:rsidR="001F1002" w:rsidRPr="002648D8">
          <w:rPr>
            <w:rStyle w:val="af1"/>
            <w:rFonts w:hint="eastAsia"/>
            <w:noProof/>
          </w:rPr>
          <w:t xml:space="preserve">　中國大陸城鎮化布局</w:t>
        </w:r>
        <w:r w:rsidR="001F1002">
          <w:rPr>
            <w:noProof/>
            <w:webHidden/>
          </w:rPr>
          <w:tab/>
        </w:r>
        <w:r w:rsidR="001F1002">
          <w:rPr>
            <w:noProof/>
            <w:webHidden/>
          </w:rPr>
          <w:fldChar w:fldCharType="begin"/>
        </w:r>
        <w:r w:rsidR="001F1002">
          <w:rPr>
            <w:noProof/>
            <w:webHidden/>
          </w:rPr>
          <w:instrText xml:space="preserve"> PAGEREF _Toc405462619 \h </w:instrText>
        </w:r>
        <w:r w:rsidR="001F1002">
          <w:rPr>
            <w:noProof/>
            <w:webHidden/>
          </w:rPr>
        </w:r>
        <w:r w:rsidR="001F1002">
          <w:rPr>
            <w:noProof/>
            <w:webHidden/>
          </w:rPr>
          <w:fldChar w:fldCharType="separate"/>
        </w:r>
        <w:r w:rsidR="00243B8C">
          <w:rPr>
            <w:noProof/>
            <w:webHidden/>
          </w:rPr>
          <w:t>33</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0" w:history="1">
        <w:r w:rsidR="001F1002" w:rsidRPr="002648D8">
          <w:rPr>
            <w:rStyle w:val="af1"/>
            <w:rFonts w:hint="eastAsia"/>
            <w:noProof/>
          </w:rPr>
          <w:t>圖</w:t>
        </w:r>
        <w:r w:rsidR="001F1002" w:rsidRPr="002648D8">
          <w:rPr>
            <w:rStyle w:val="af1"/>
            <w:noProof/>
          </w:rPr>
          <w:t>2-5</w:t>
        </w:r>
        <w:r w:rsidR="001F1002" w:rsidRPr="002648D8">
          <w:rPr>
            <w:rStyle w:val="af1"/>
            <w:rFonts w:hint="eastAsia"/>
            <w:noProof/>
          </w:rPr>
          <w:t xml:space="preserve">　京津冀地理位置和交通示意圖</w:t>
        </w:r>
        <w:r w:rsidR="001F1002">
          <w:rPr>
            <w:noProof/>
            <w:webHidden/>
          </w:rPr>
          <w:tab/>
        </w:r>
        <w:r w:rsidR="001F1002">
          <w:rPr>
            <w:noProof/>
            <w:webHidden/>
          </w:rPr>
          <w:fldChar w:fldCharType="begin"/>
        </w:r>
        <w:r w:rsidR="001F1002">
          <w:rPr>
            <w:noProof/>
            <w:webHidden/>
          </w:rPr>
          <w:instrText xml:space="preserve"> PAGEREF _Toc405462620 \h </w:instrText>
        </w:r>
        <w:r w:rsidR="001F1002">
          <w:rPr>
            <w:noProof/>
            <w:webHidden/>
          </w:rPr>
        </w:r>
        <w:r w:rsidR="001F1002">
          <w:rPr>
            <w:noProof/>
            <w:webHidden/>
          </w:rPr>
          <w:fldChar w:fldCharType="separate"/>
        </w:r>
        <w:r w:rsidR="00243B8C">
          <w:rPr>
            <w:noProof/>
            <w:webHidden/>
          </w:rPr>
          <w:t>37</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1" w:history="1">
        <w:r w:rsidR="001F1002" w:rsidRPr="002648D8">
          <w:rPr>
            <w:rStyle w:val="af1"/>
            <w:rFonts w:hint="eastAsia"/>
            <w:noProof/>
          </w:rPr>
          <w:t>圖</w:t>
        </w:r>
        <w:r w:rsidR="001F1002" w:rsidRPr="002648D8">
          <w:rPr>
            <w:rStyle w:val="af1"/>
            <w:noProof/>
          </w:rPr>
          <w:t>2-6</w:t>
        </w:r>
        <w:r w:rsidR="001F1002" w:rsidRPr="002648D8">
          <w:rPr>
            <w:rStyle w:val="af1"/>
            <w:rFonts w:hint="eastAsia"/>
            <w:noProof/>
          </w:rPr>
          <w:t xml:space="preserve">　長江經濟帶範圍</w:t>
        </w:r>
        <w:r w:rsidR="001F1002">
          <w:rPr>
            <w:noProof/>
            <w:webHidden/>
          </w:rPr>
          <w:tab/>
        </w:r>
        <w:r w:rsidR="001F1002">
          <w:rPr>
            <w:noProof/>
            <w:webHidden/>
          </w:rPr>
          <w:fldChar w:fldCharType="begin"/>
        </w:r>
        <w:r w:rsidR="001F1002">
          <w:rPr>
            <w:noProof/>
            <w:webHidden/>
          </w:rPr>
          <w:instrText xml:space="preserve"> PAGEREF _Toc405462621 \h </w:instrText>
        </w:r>
        <w:r w:rsidR="001F1002">
          <w:rPr>
            <w:noProof/>
            <w:webHidden/>
          </w:rPr>
        </w:r>
        <w:r w:rsidR="001F1002">
          <w:rPr>
            <w:noProof/>
            <w:webHidden/>
          </w:rPr>
          <w:fldChar w:fldCharType="separate"/>
        </w:r>
        <w:r w:rsidR="00243B8C">
          <w:rPr>
            <w:noProof/>
            <w:webHidden/>
          </w:rPr>
          <w:t>40</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2" w:history="1">
        <w:r w:rsidR="001F1002" w:rsidRPr="002648D8">
          <w:rPr>
            <w:rStyle w:val="af1"/>
            <w:rFonts w:hint="eastAsia"/>
            <w:noProof/>
          </w:rPr>
          <w:t>圖</w:t>
        </w:r>
        <w:r w:rsidR="001F1002" w:rsidRPr="002648D8">
          <w:rPr>
            <w:rStyle w:val="af1"/>
            <w:noProof/>
          </w:rPr>
          <w:t>2-7</w:t>
        </w:r>
        <w:r w:rsidR="001F1002" w:rsidRPr="002648D8">
          <w:rPr>
            <w:rStyle w:val="af1"/>
            <w:rFonts w:hint="eastAsia"/>
            <w:noProof/>
          </w:rPr>
          <w:t xml:space="preserve">　珠江—西江經濟帶範圍示意圖</w:t>
        </w:r>
        <w:r w:rsidR="001F1002">
          <w:rPr>
            <w:noProof/>
            <w:webHidden/>
          </w:rPr>
          <w:tab/>
        </w:r>
        <w:r w:rsidR="001F1002">
          <w:rPr>
            <w:noProof/>
            <w:webHidden/>
          </w:rPr>
          <w:fldChar w:fldCharType="begin"/>
        </w:r>
        <w:r w:rsidR="001F1002">
          <w:rPr>
            <w:noProof/>
            <w:webHidden/>
          </w:rPr>
          <w:instrText xml:space="preserve"> PAGEREF _Toc405462622 \h </w:instrText>
        </w:r>
        <w:r w:rsidR="001F1002">
          <w:rPr>
            <w:noProof/>
            <w:webHidden/>
          </w:rPr>
        </w:r>
        <w:r w:rsidR="001F1002">
          <w:rPr>
            <w:noProof/>
            <w:webHidden/>
          </w:rPr>
          <w:fldChar w:fldCharType="separate"/>
        </w:r>
        <w:r w:rsidR="00243B8C">
          <w:rPr>
            <w:noProof/>
            <w:webHidden/>
          </w:rPr>
          <w:t>42</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3" w:history="1">
        <w:r w:rsidR="001F1002" w:rsidRPr="002648D8">
          <w:rPr>
            <w:rStyle w:val="af1"/>
            <w:rFonts w:hint="eastAsia"/>
            <w:noProof/>
          </w:rPr>
          <w:t>圖</w:t>
        </w:r>
        <w:r w:rsidR="001F1002" w:rsidRPr="002648D8">
          <w:rPr>
            <w:rStyle w:val="af1"/>
            <w:noProof/>
          </w:rPr>
          <w:t>2-8</w:t>
        </w:r>
        <w:r w:rsidR="001F1002" w:rsidRPr="002648D8">
          <w:rPr>
            <w:rStyle w:val="af1"/>
            <w:rFonts w:hint="eastAsia"/>
            <w:noProof/>
          </w:rPr>
          <w:t xml:space="preserve">　粵桂合作特別試驗區示意圖</w:t>
        </w:r>
        <w:r w:rsidR="001F1002">
          <w:rPr>
            <w:noProof/>
            <w:webHidden/>
          </w:rPr>
          <w:tab/>
        </w:r>
        <w:r w:rsidR="001F1002">
          <w:rPr>
            <w:noProof/>
            <w:webHidden/>
          </w:rPr>
          <w:fldChar w:fldCharType="begin"/>
        </w:r>
        <w:r w:rsidR="001F1002">
          <w:rPr>
            <w:noProof/>
            <w:webHidden/>
          </w:rPr>
          <w:instrText xml:space="preserve"> PAGEREF _Toc405462623 \h </w:instrText>
        </w:r>
        <w:r w:rsidR="001F1002">
          <w:rPr>
            <w:noProof/>
            <w:webHidden/>
          </w:rPr>
        </w:r>
        <w:r w:rsidR="001F1002">
          <w:rPr>
            <w:noProof/>
            <w:webHidden/>
          </w:rPr>
          <w:fldChar w:fldCharType="separate"/>
        </w:r>
        <w:r w:rsidR="00243B8C">
          <w:rPr>
            <w:noProof/>
            <w:webHidden/>
          </w:rPr>
          <w:t>44</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4" w:history="1">
        <w:r w:rsidR="001F1002" w:rsidRPr="002648D8">
          <w:rPr>
            <w:rStyle w:val="af1"/>
            <w:rFonts w:hint="eastAsia"/>
            <w:noProof/>
          </w:rPr>
          <w:t>圖</w:t>
        </w:r>
        <w:r w:rsidR="001F1002" w:rsidRPr="002648D8">
          <w:rPr>
            <w:rStyle w:val="af1"/>
            <w:noProof/>
          </w:rPr>
          <w:t>3-1</w:t>
        </w:r>
        <w:r w:rsidR="001F1002" w:rsidRPr="002648D8">
          <w:rPr>
            <w:rStyle w:val="af1"/>
            <w:rFonts w:hint="eastAsia"/>
            <w:noProof/>
          </w:rPr>
          <w:t xml:space="preserve">　中國大陸三級產業生產總額結構：</w:t>
        </w:r>
        <w:r w:rsidR="001F1002" w:rsidRPr="002648D8">
          <w:rPr>
            <w:rStyle w:val="af1"/>
            <w:noProof/>
          </w:rPr>
          <w:t>1990-2013</w:t>
        </w:r>
        <w:r w:rsidR="001F1002" w:rsidRPr="002648D8">
          <w:rPr>
            <w:rStyle w:val="af1"/>
            <w:rFonts w:hint="eastAsia"/>
            <w:noProof/>
          </w:rPr>
          <w:t>年</w:t>
        </w:r>
        <w:r w:rsidR="001F1002">
          <w:rPr>
            <w:noProof/>
            <w:webHidden/>
          </w:rPr>
          <w:tab/>
        </w:r>
        <w:r w:rsidR="001F1002">
          <w:rPr>
            <w:noProof/>
            <w:webHidden/>
          </w:rPr>
          <w:fldChar w:fldCharType="begin"/>
        </w:r>
        <w:r w:rsidR="001F1002">
          <w:rPr>
            <w:noProof/>
            <w:webHidden/>
          </w:rPr>
          <w:instrText xml:space="preserve"> PAGEREF _Toc405462624 \h </w:instrText>
        </w:r>
        <w:r w:rsidR="001F1002">
          <w:rPr>
            <w:noProof/>
            <w:webHidden/>
          </w:rPr>
        </w:r>
        <w:r w:rsidR="001F1002">
          <w:rPr>
            <w:noProof/>
            <w:webHidden/>
          </w:rPr>
          <w:fldChar w:fldCharType="separate"/>
        </w:r>
        <w:r w:rsidR="00243B8C">
          <w:rPr>
            <w:noProof/>
            <w:webHidden/>
          </w:rPr>
          <w:t>49</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5" w:history="1">
        <w:r w:rsidR="001F1002" w:rsidRPr="002648D8">
          <w:rPr>
            <w:rStyle w:val="af1"/>
            <w:rFonts w:hint="eastAsia"/>
            <w:noProof/>
          </w:rPr>
          <w:t>圖</w:t>
        </w:r>
        <w:r w:rsidR="001F1002" w:rsidRPr="002648D8">
          <w:rPr>
            <w:rStyle w:val="af1"/>
            <w:noProof/>
          </w:rPr>
          <w:t xml:space="preserve">3-2  </w:t>
        </w:r>
        <w:r w:rsidR="001F1002" w:rsidRPr="002648D8">
          <w:rPr>
            <w:rStyle w:val="af1"/>
            <w:rFonts w:hint="eastAsia"/>
            <w:noProof/>
          </w:rPr>
          <w:t>生產性服務業與第三級產業、國內生產毛額成長率之比較</w:t>
        </w:r>
        <w:r w:rsidR="001F1002">
          <w:rPr>
            <w:noProof/>
            <w:webHidden/>
          </w:rPr>
          <w:tab/>
        </w:r>
        <w:r w:rsidR="001F1002">
          <w:rPr>
            <w:noProof/>
            <w:webHidden/>
          </w:rPr>
          <w:fldChar w:fldCharType="begin"/>
        </w:r>
        <w:r w:rsidR="001F1002">
          <w:rPr>
            <w:noProof/>
            <w:webHidden/>
          </w:rPr>
          <w:instrText xml:space="preserve"> PAGEREF _Toc405462625 \h </w:instrText>
        </w:r>
        <w:r w:rsidR="001F1002">
          <w:rPr>
            <w:noProof/>
            <w:webHidden/>
          </w:rPr>
        </w:r>
        <w:r w:rsidR="001F1002">
          <w:rPr>
            <w:noProof/>
            <w:webHidden/>
          </w:rPr>
          <w:fldChar w:fldCharType="separate"/>
        </w:r>
        <w:r w:rsidR="00243B8C">
          <w:rPr>
            <w:noProof/>
            <w:webHidden/>
          </w:rPr>
          <w:t>50</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6" w:history="1">
        <w:r w:rsidR="001F1002" w:rsidRPr="002648D8">
          <w:rPr>
            <w:rStyle w:val="af1"/>
            <w:rFonts w:hint="eastAsia"/>
            <w:noProof/>
          </w:rPr>
          <w:t>圖</w:t>
        </w:r>
        <w:r w:rsidR="001F1002" w:rsidRPr="002648D8">
          <w:rPr>
            <w:rStyle w:val="af1"/>
            <w:noProof/>
          </w:rPr>
          <w:t xml:space="preserve">3-3  </w:t>
        </w:r>
        <w:r w:rsidR="001F1002" w:rsidRPr="002648D8">
          <w:rPr>
            <w:rStyle w:val="af1"/>
            <w:rFonts w:hint="eastAsia"/>
            <w:noProof/>
          </w:rPr>
          <w:t>營改增發展時程示意圖</w:t>
        </w:r>
        <w:r w:rsidR="001F1002">
          <w:rPr>
            <w:noProof/>
            <w:webHidden/>
          </w:rPr>
          <w:tab/>
        </w:r>
        <w:r w:rsidR="001F1002">
          <w:rPr>
            <w:noProof/>
            <w:webHidden/>
          </w:rPr>
          <w:fldChar w:fldCharType="begin"/>
        </w:r>
        <w:r w:rsidR="001F1002">
          <w:rPr>
            <w:noProof/>
            <w:webHidden/>
          </w:rPr>
          <w:instrText xml:space="preserve"> PAGEREF _Toc405462626 \h </w:instrText>
        </w:r>
        <w:r w:rsidR="001F1002">
          <w:rPr>
            <w:noProof/>
            <w:webHidden/>
          </w:rPr>
        </w:r>
        <w:r w:rsidR="001F1002">
          <w:rPr>
            <w:noProof/>
            <w:webHidden/>
          </w:rPr>
          <w:fldChar w:fldCharType="separate"/>
        </w:r>
        <w:r w:rsidR="00243B8C">
          <w:rPr>
            <w:noProof/>
            <w:webHidden/>
          </w:rPr>
          <w:t>54</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7" w:history="1">
        <w:r w:rsidR="001F1002" w:rsidRPr="002648D8">
          <w:rPr>
            <w:rStyle w:val="af1"/>
            <w:rFonts w:hint="eastAsia"/>
            <w:noProof/>
          </w:rPr>
          <w:t>圖</w:t>
        </w:r>
        <w:r w:rsidR="001F1002" w:rsidRPr="002648D8">
          <w:rPr>
            <w:rStyle w:val="af1"/>
            <w:noProof/>
          </w:rPr>
          <w:t xml:space="preserve">3-4  </w:t>
        </w:r>
        <w:r w:rsidR="001F1002" w:rsidRPr="002648D8">
          <w:rPr>
            <w:rStyle w:val="af1"/>
            <w:rFonts w:hint="eastAsia"/>
            <w:noProof/>
          </w:rPr>
          <w:t>生產性服務業成長趨勢</w:t>
        </w:r>
        <w:r w:rsidR="001F1002">
          <w:rPr>
            <w:noProof/>
            <w:webHidden/>
          </w:rPr>
          <w:tab/>
        </w:r>
        <w:r w:rsidR="001F1002">
          <w:rPr>
            <w:noProof/>
            <w:webHidden/>
          </w:rPr>
          <w:fldChar w:fldCharType="begin"/>
        </w:r>
        <w:r w:rsidR="001F1002">
          <w:rPr>
            <w:noProof/>
            <w:webHidden/>
          </w:rPr>
          <w:instrText xml:space="preserve"> PAGEREF _Toc405462627 \h </w:instrText>
        </w:r>
        <w:r w:rsidR="001F1002">
          <w:rPr>
            <w:noProof/>
            <w:webHidden/>
          </w:rPr>
        </w:r>
        <w:r w:rsidR="001F1002">
          <w:rPr>
            <w:noProof/>
            <w:webHidden/>
          </w:rPr>
          <w:fldChar w:fldCharType="separate"/>
        </w:r>
        <w:r w:rsidR="00243B8C">
          <w:rPr>
            <w:noProof/>
            <w:webHidden/>
          </w:rPr>
          <w:t>55</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8" w:history="1">
        <w:r w:rsidR="001F1002" w:rsidRPr="002648D8">
          <w:rPr>
            <w:rStyle w:val="af1"/>
            <w:rFonts w:hint="eastAsia"/>
            <w:noProof/>
          </w:rPr>
          <w:t>圖</w:t>
        </w:r>
        <w:r w:rsidR="001F1002" w:rsidRPr="002648D8">
          <w:rPr>
            <w:rStyle w:val="af1"/>
            <w:noProof/>
          </w:rPr>
          <w:t xml:space="preserve">3-5  </w:t>
        </w:r>
        <w:r w:rsidR="001F1002" w:rsidRPr="002648D8">
          <w:rPr>
            <w:rStyle w:val="af1"/>
            <w:rFonts w:hint="eastAsia"/>
            <w:noProof/>
          </w:rPr>
          <w:t>營改增實施前後稅負變化示意案例</w:t>
        </w:r>
        <w:r w:rsidR="001F1002">
          <w:rPr>
            <w:noProof/>
            <w:webHidden/>
          </w:rPr>
          <w:tab/>
        </w:r>
        <w:r w:rsidR="001F1002">
          <w:rPr>
            <w:noProof/>
            <w:webHidden/>
          </w:rPr>
          <w:fldChar w:fldCharType="begin"/>
        </w:r>
        <w:r w:rsidR="001F1002">
          <w:rPr>
            <w:noProof/>
            <w:webHidden/>
          </w:rPr>
          <w:instrText xml:space="preserve"> PAGEREF _Toc405462628 \h </w:instrText>
        </w:r>
        <w:r w:rsidR="001F1002">
          <w:rPr>
            <w:noProof/>
            <w:webHidden/>
          </w:rPr>
        </w:r>
        <w:r w:rsidR="001F1002">
          <w:rPr>
            <w:noProof/>
            <w:webHidden/>
          </w:rPr>
          <w:fldChar w:fldCharType="separate"/>
        </w:r>
        <w:r w:rsidR="00243B8C">
          <w:rPr>
            <w:noProof/>
            <w:webHidden/>
          </w:rPr>
          <w:t>58</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29" w:history="1">
        <w:r w:rsidR="001F1002" w:rsidRPr="002648D8">
          <w:rPr>
            <w:rStyle w:val="af1"/>
            <w:rFonts w:hint="eastAsia"/>
            <w:noProof/>
          </w:rPr>
          <w:t>圖</w:t>
        </w:r>
        <w:r w:rsidR="001F1002" w:rsidRPr="002648D8">
          <w:rPr>
            <w:rStyle w:val="af1"/>
            <w:noProof/>
          </w:rPr>
          <w:t xml:space="preserve">3-6  </w:t>
        </w:r>
        <w:r w:rsidR="001F1002" w:rsidRPr="002648D8">
          <w:rPr>
            <w:rStyle w:val="af1"/>
            <w:rFonts w:hint="eastAsia"/>
            <w:noProof/>
          </w:rPr>
          <w:t>營改增下各行業稅負不變之成本分配率</w:t>
        </w:r>
        <w:r w:rsidR="001F1002">
          <w:rPr>
            <w:noProof/>
            <w:webHidden/>
          </w:rPr>
          <w:tab/>
        </w:r>
        <w:r w:rsidR="001F1002">
          <w:rPr>
            <w:noProof/>
            <w:webHidden/>
          </w:rPr>
          <w:fldChar w:fldCharType="begin"/>
        </w:r>
        <w:r w:rsidR="001F1002">
          <w:rPr>
            <w:noProof/>
            <w:webHidden/>
          </w:rPr>
          <w:instrText xml:space="preserve"> PAGEREF _Toc405462629 \h </w:instrText>
        </w:r>
        <w:r w:rsidR="001F1002">
          <w:rPr>
            <w:noProof/>
            <w:webHidden/>
          </w:rPr>
        </w:r>
        <w:r w:rsidR="001F1002">
          <w:rPr>
            <w:noProof/>
            <w:webHidden/>
          </w:rPr>
          <w:fldChar w:fldCharType="separate"/>
        </w:r>
        <w:r w:rsidR="00243B8C">
          <w:rPr>
            <w:noProof/>
            <w:webHidden/>
          </w:rPr>
          <w:t>59</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0" w:history="1">
        <w:r w:rsidR="001F1002" w:rsidRPr="002648D8">
          <w:rPr>
            <w:rStyle w:val="af1"/>
            <w:rFonts w:hint="eastAsia"/>
            <w:noProof/>
          </w:rPr>
          <w:t>圖</w:t>
        </w:r>
        <w:r w:rsidR="001F1002" w:rsidRPr="002648D8">
          <w:rPr>
            <w:rStyle w:val="af1"/>
            <w:noProof/>
          </w:rPr>
          <w:t xml:space="preserve">3-7  </w:t>
        </w:r>
        <w:r w:rsidR="001F1002" w:rsidRPr="002648D8">
          <w:rPr>
            <w:rStyle w:val="af1"/>
            <w:rFonts w:hint="eastAsia"/>
            <w:noProof/>
          </w:rPr>
          <w:t>營改增政策對產業鏈之可能影響</w:t>
        </w:r>
        <w:r w:rsidR="001F1002">
          <w:rPr>
            <w:noProof/>
            <w:webHidden/>
          </w:rPr>
          <w:tab/>
        </w:r>
        <w:r w:rsidR="001F1002">
          <w:rPr>
            <w:noProof/>
            <w:webHidden/>
          </w:rPr>
          <w:fldChar w:fldCharType="begin"/>
        </w:r>
        <w:r w:rsidR="001F1002">
          <w:rPr>
            <w:noProof/>
            <w:webHidden/>
          </w:rPr>
          <w:instrText xml:space="preserve"> PAGEREF _Toc405462630 \h </w:instrText>
        </w:r>
        <w:r w:rsidR="001F1002">
          <w:rPr>
            <w:noProof/>
            <w:webHidden/>
          </w:rPr>
        </w:r>
        <w:r w:rsidR="001F1002">
          <w:rPr>
            <w:noProof/>
            <w:webHidden/>
          </w:rPr>
          <w:fldChar w:fldCharType="separate"/>
        </w:r>
        <w:r w:rsidR="00243B8C">
          <w:rPr>
            <w:noProof/>
            <w:webHidden/>
          </w:rPr>
          <w:t>62</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1" w:history="1">
        <w:r w:rsidR="001F1002" w:rsidRPr="002648D8">
          <w:rPr>
            <w:rStyle w:val="af1"/>
            <w:rFonts w:hint="eastAsia"/>
            <w:noProof/>
          </w:rPr>
          <w:t>圖</w:t>
        </w:r>
        <w:r w:rsidR="001F1002" w:rsidRPr="002648D8">
          <w:rPr>
            <w:rStyle w:val="af1"/>
            <w:noProof/>
          </w:rPr>
          <w:t>4-1</w:t>
        </w:r>
        <w:r w:rsidR="001F1002" w:rsidRPr="002648D8">
          <w:rPr>
            <w:rStyle w:val="af1"/>
            <w:rFonts w:hint="eastAsia"/>
            <w:noProof/>
          </w:rPr>
          <w:t xml:space="preserve">　海陸絲綢之路示意圖</w:t>
        </w:r>
        <w:r w:rsidR="001F1002">
          <w:rPr>
            <w:noProof/>
            <w:webHidden/>
          </w:rPr>
          <w:tab/>
        </w:r>
        <w:r w:rsidR="001F1002">
          <w:rPr>
            <w:noProof/>
            <w:webHidden/>
          </w:rPr>
          <w:fldChar w:fldCharType="begin"/>
        </w:r>
        <w:r w:rsidR="001F1002">
          <w:rPr>
            <w:noProof/>
            <w:webHidden/>
          </w:rPr>
          <w:instrText xml:space="preserve"> PAGEREF _Toc405462631 \h </w:instrText>
        </w:r>
        <w:r w:rsidR="001F1002">
          <w:rPr>
            <w:noProof/>
            <w:webHidden/>
          </w:rPr>
        </w:r>
        <w:r w:rsidR="001F1002">
          <w:rPr>
            <w:noProof/>
            <w:webHidden/>
          </w:rPr>
          <w:fldChar w:fldCharType="separate"/>
        </w:r>
        <w:r w:rsidR="00243B8C">
          <w:rPr>
            <w:noProof/>
            <w:webHidden/>
          </w:rPr>
          <w:t>73</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2" w:history="1">
        <w:r w:rsidR="001F1002" w:rsidRPr="002648D8">
          <w:rPr>
            <w:rStyle w:val="af1"/>
            <w:rFonts w:hint="eastAsia"/>
            <w:noProof/>
          </w:rPr>
          <w:t>圖</w:t>
        </w:r>
        <w:r w:rsidR="001F1002" w:rsidRPr="002648D8">
          <w:rPr>
            <w:rStyle w:val="af1"/>
            <w:noProof/>
          </w:rPr>
          <w:t>4-2</w:t>
        </w:r>
        <w:r w:rsidR="001F1002" w:rsidRPr="002648D8">
          <w:rPr>
            <w:rStyle w:val="af1"/>
            <w:rFonts w:hint="eastAsia"/>
            <w:noProof/>
          </w:rPr>
          <w:t xml:space="preserve">　絲綢之路經濟帶示意圖</w:t>
        </w:r>
        <w:r w:rsidR="001F1002">
          <w:rPr>
            <w:noProof/>
            <w:webHidden/>
          </w:rPr>
          <w:tab/>
        </w:r>
        <w:r w:rsidR="001F1002">
          <w:rPr>
            <w:noProof/>
            <w:webHidden/>
          </w:rPr>
          <w:fldChar w:fldCharType="begin"/>
        </w:r>
        <w:r w:rsidR="001F1002">
          <w:rPr>
            <w:noProof/>
            <w:webHidden/>
          </w:rPr>
          <w:instrText xml:space="preserve"> PAGEREF _Toc405462632 \h </w:instrText>
        </w:r>
        <w:r w:rsidR="001F1002">
          <w:rPr>
            <w:noProof/>
            <w:webHidden/>
          </w:rPr>
        </w:r>
        <w:r w:rsidR="001F1002">
          <w:rPr>
            <w:noProof/>
            <w:webHidden/>
          </w:rPr>
          <w:fldChar w:fldCharType="separate"/>
        </w:r>
        <w:r w:rsidR="00243B8C">
          <w:rPr>
            <w:noProof/>
            <w:webHidden/>
          </w:rPr>
          <w:t>75</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3" w:history="1">
        <w:r w:rsidR="001F1002" w:rsidRPr="002648D8">
          <w:rPr>
            <w:rStyle w:val="af1"/>
            <w:rFonts w:hint="eastAsia"/>
            <w:noProof/>
          </w:rPr>
          <w:t>圖</w:t>
        </w:r>
        <w:r w:rsidR="001F1002" w:rsidRPr="002648D8">
          <w:rPr>
            <w:rStyle w:val="af1"/>
            <w:noProof/>
          </w:rPr>
          <w:t>4-3</w:t>
        </w:r>
        <w:r w:rsidR="001F1002" w:rsidRPr="002648D8">
          <w:rPr>
            <w:rStyle w:val="af1"/>
            <w:rFonts w:hint="eastAsia"/>
            <w:noProof/>
          </w:rPr>
          <w:t xml:space="preserve">　中亞五國位置圖</w:t>
        </w:r>
        <w:r w:rsidR="001F1002">
          <w:rPr>
            <w:noProof/>
            <w:webHidden/>
          </w:rPr>
          <w:tab/>
        </w:r>
        <w:r w:rsidR="001F1002">
          <w:rPr>
            <w:noProof/>
            <w:webHidden/>
          </w:rPr>
          <w:fldChar w:fldCharType="begin"/>
        </w:r>
        <w:r w:rsidR="001F1002">
          <w:rPr>
            <w:noProof/>
            <w:webHidden/>
          </w:rPr>
          <w:instrText xml:space="preserve"> PAGEREF _Toc405462633 \h </w:instrText>
        </w:r>
        <w:r w:rsidR="001F1002">
          <w:rPr>
            <w:noProof/>
            <w:webHidden/>
          </w:rPr>
        </w:r>
        <w:r w:rsidR="001F1002">
          <w:rPr>
            <w:noProof/>
            <w:webHidden/>
          </w:rPr>
          <w:fldChar w:fldCharType="separate"/>
        </w:r>
        <w:r w:rsidR="00243B8C">
          <w:rPr>
            <w:noProof/>
            <w:webHidden/>
          </w:rPr>
          <w:t>76</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4" w:history="1">
        <w:r w:rsidR="001F1002" w:rsidRPr="002648D8">
          <w:rPr>
            <w:rStyle w:val="af1"/>
            <w:rFonts w:hint="eastAsia"/>
            <w:noProof/>
          </w:rPr>
          <w:t>圖</w:t>
        </w:r>
        <w:r w:rsidR="001F1002" w:rsidRPr="002648D8">
          <w:rPr>
            <w:rStyle w:val="af1"/>
            <w:noProof/>
          </w:rPr>
          <w:t>4-4</w:t>
        </w:r>
        <w:r w:rsidR="001F1002" w:rsidRPr="002648D8">
          <w:rPr>
            <w:rStyle w:val="af1"/>
            <w:rFonts w:hint="eastAsia"/>
            <w:noProof/>
          </w:rPr>
          <w:t xml:space="preserve">　「中」巴經濟走廊示意圖</w:t>
        </w:r>
        <w:r w:rsidR="001F1002">
          <w:rPr>
            <w:noProof/>
            <w:webHidden/>
          </w:rPr>
          <w:tab/>
        </w:r>
        <w:r w:rsidR="001F1002">
          <w:rPr>
            <w:noProof/>
            <w:webHidden/>
          </w:rPr>
          <w:fldChar w:fldCharType="begin"/>
        </w:r>
        <w:r w:rsidR="001F1002">
          <w:rPr>
            <w:noProof/>
            <w:webHidden/>
          </w:rPr>
          <w:instrText xml:space="preserve"> PAGEREF _Toc405462634 \h </w:instrText>
        </w:r>
        <w:r w:rsidR="001F1002">
          <w:rPr>
            <w:noProof/>
            <w:webHidden/>
          </w:rPr>
        </w:r>
        <w:r w:rsidR="001F1002">
          <w:rPr>
            <w:noProof/>
            <w:webHidden/>
          </w:rPr>
          <w:fldChar w:fldCharType="separate"/>
        </w:r>
        <w:r w:rsidR="00243B8C">
          <w:rPr>
            <w:noProof/>
            <w:webHidden/>
          </w:rPr>
          <w:t>84</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5" w:history="1">
        <w:r w:rsidR="001F1002" w:rsidRPr="002648D8">
          <w:rPr>
            <w:rStyle w:val="af1"/>
            <w:rFonts w:hint="eastAsia"/>
            <w:noProof/>
          </w:rPr>
          <w:t>圖</w:t>
        </w:r>
        <w:r w:rsidR="001F1002" w:rsidRPr="002648D8">
          <w:rPr>
            <w:rStyle w:val="af1"/>
            <w:noProof/>
          </w:rPr>
          <w:t>4-5</w:t>
        </w:r>
        <w:r w:rsidR="001F1002" w:rsidRPr="002648D8">
          <w:rPr>
            <w:rStyle w:val="af1"/>
            <w:rFonts w:hint="eastAsia"/>
            <w:noProof/>
          </w:rPr>
          <w:t xml:space="preserve">　</w:t>
        </w:r>
        <w:r w:rsidR="001F1002" w:rsidRPr="002648D8">
          <w:rPr>
            <w:rStyle w:val="af1"/>
            <w:noProof/>
          </w:rPr>
          <w:t>RCEP</w:t>
        </w:r>
        <w:r w:rsidR="001F1002" w:rsidRPr="002648D8">
          <w:rPr>
            <w:rStyle w:val="af1"/>
            <w:rFonts w:hint="eastAsia"/>
            <w:noProof/>
          </w:rPr>
          <w:t>與</w:t>
        </w:r>
        <w:r w:rsidR="001F1002" w:rsidRPr="002648D8">
          <w:rPr>
            <w:rStyle w:val="af1"/>
            <w:noProof/>
          </w:rPr>
          <w:t>TPP</w:t>
        </w:r>
        <w:r w:rsidR="001F1002" w:rsidRPr="002648D8">
          <w:rPr>
            <w:rStyle w:val="af1"/>
            <w:rFonts w:hint="eastAsia"/>
            <w:noProof/>
          </w:rPr>
          <w:t>比較圖</w:t>
        </w:r>
        <w:r w:rsidR="001F1002">
          <w:rPr>
            <w:noProof/>
            <w:webHidden/>
          </w:rPr>
          <w:tab/>
        </w:r>
        <w:r w:rsidR="001F1002">
          <w:rPr>
            <w:noProof/>
            <w:webHidden/>
          </w:rPr>
          <w:fldChar w:fldCharType="begin"/>
        </w:r>
        <w:r w:rsidR="001F1002">
          <w:rPr>
            <w:noProof/>
            <w:webHidden/>
          </w:rPr>
          <w:instrText xml:space="preserve"> PAGEREF _Toc405462635 \h </w:instrText>
        </w:r>
        <w:r w:rsidR="001F1002">
          <w:rPr>
            <w:noProof/>
            <w:webHidden/>
          </w:rPr>
        </w:r>
        <w:r w:rsidR="001F1002">
          <w:rPr>
            <w:noProof/>
            <w:webHidden/>
          </w:rPr>
          <w:fldChar w:fldCharType="separate"/>
        </w:r>
        <w:r w:rsidR="00243B8C">
          <w:rPr>
            <w:noProof/>
            <w:webHidden/>
          </w:rPr>
          <w:t>90</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6" w:history="1">
        <w:r w:rsidR="001F1002" w:rsidRPr="002648D8">
          <w:rPr>
            <w:rStyle w:val="af1"/>
            <w:rFonts w:hint="eastAsia"/>
            <w:noProof/>
          </w:rPr>
          <w:t>圖</w:t>
        </w:r>
        <w:r w:rsidR="001F1002" w:rsidRPr="002648D8">
          <w:rPr>
            <w:rStyle w:val="af1"/>
            <w:noProof/>
          </w:rPr>
          <w:t>4-6</w:t>
        </w:r>
        <w:r w:rsidR="001F1002" w:rsidRPr="002648D8">
          <w:rPr>
            <w:rStyle w:val="af1"/>
            <w:rFonts w:hint="eastAsia"/>
            <w:noProof/>
          </w:rPr>
          <w:t xml:space="preserve">　</w:t>
        </w:r>
        <w:r w:rsidR="001F1002" w:rsidRPr="002648D8">
          <w:rPr>
            <w:rStyle w:val="af1"/>
            <w:noProof/>
          </w:rPr>
          <w:t>FTAAP</w:t>
        </w:r>
        <w:r w:rsidR="001F1002" w:rsidRPr="002648D8">
          <w:rPr>
            <w:rStyle w:val="af1"/>
            <w:rFonts w:hint="eastAsia"/>
            <w:noProof/>
          </w:rPr>
          <w:t>與</w:t>
        </w:r>
        <w:r w:rsidR="001F1002" w:rsidRPr="002648D8">
          <w:rPr>
            <w:rStyle w:val="af1"/>
            <w:noProof/>
          </w:rPr>
          <w:t>RCEP</w:t>
        </w:r>
        <w:r w:rsidR="001F1002" w:rsidRPr="002648D8">
          <w:rPr>
            <w:rStyle w:val="af1"/>
            <w:rFonts w:hint="eastAsia"/>
            <w:noProof/>
          </w:rPr>
          <w:t>、</w:t>
        </w:r>
        <w:r w:rsidR="001F1002" w:rsidRPr="002648D8">
          <w:rPr>
            <w:rStyle w:val="af1"/>
            <w:noProof/>
          </w:rPr>
          <w:t>TPP</w:t>
        </w:r>
        <w:r w:rsidR="001F1002" w:rsidRPr="002648D8">
          <w:rPr>
            <w:rStyle w:val="af1"/>
            <w:rFonts w:hint="eastAsia"/>
            <w:noProof/>
          </w:rPr>
          <w:t>關係</w:t>
        </w:r>
        <w:r w:rsidR="001F1002">
          <w:rPr>
            <w:noProof/>
            <w:webHidden/>
          </w:rPr>
          <w:tab/>
        </w:r>
        <w:r w:rsidR="001F1002">
          <w:rPr>
            <w:noProof/>
            <w:webHidden/>
          </w:rPr>
          <w:fldChar w:fldCharType="begin"/>
        </w:r>
        <w:r w:rsidR="001F1002">
          <w:rPr>
            <w:noProof/>
            <w:webHidden/>
          </w:rPr>
          <w:instrText xml:space="preserve"> PAGEREF _Toc405462636 \h </w:instrText>
        </w:r>
        <w:r w:rsidR="001F1002">
          <w:rPr>
            <w:noProof/>
            <w:webHidden/>
          </w:rPr>
        </w:r>
        <w:r w:rsidR="001F1002">
          <w:rPr>
            <w:noProof/>
            <w:webHidden/>
          </w:rPr>
          <w:fldChar w:fldCharType="separate"/>
        </w:r>
        <w:r w:rsidR="00243B8C">
          <w:rPr>
            <w:noProof/>
            <w:webHidden/>
          </w:rPr>
          <w:t>91</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7" w:history="1">
        <w:r w:rsidR="001F1002" w:rsidRPr="002648D8">
          <w:rPr>
            <w:rStyle w:val="af1"/>
            <w:rFonts w:hint="eastAsia"/>
            <w:noProof/>
          </w:rPr>
          <w:t>圖</w:t>
        </w:r>
        <w:r w:rsidR="001F1002" w:rsidRPr="002648D8">
          <w:rPr>
            <w:rStyle w:val="af1"/>
            <w:noProof/>
          </w:rPr>
          <w:t>4-7</w:t>
        </w:r>
        <w:r w:rsidR="001F1002" w:rsidRPr="002648D8">
          <w:rPr>
            <w:rStyle w:val="af1"/>
            <w:rFonts w:hint="eastAsia"/>
            <w:noProof/>
          </w:rPr>
          <w:t xml:space="preserve">　上海自貿區範圍</w:t>
        </w:r>
        <w:r w:rsidR="001F1002">
          <w:rPr>
            <w:noProof/>
            <w:webHidden/>
          </w:rPr>
          <w:tab/>
        </w:r>
        <w:r w:rsidR="001F1002">
          <w:rPr>
            <w:noProof/>
            <w:webHidden/>
          </w:rPr>
          <w:fldChar w:fldCharType="begin"/>
        </w:r>
        <w:r w:rsidR="001F1002">
          <w:rPr>
            <w:noProof/>
            <w:webHidden/>
          </w:rPr>
          <w:instrText xml:space="preserve"> PAGEREF _Toc405462637 \h </w:instrText>
        </w:r>
        <w:r w:rsidR="001F1002">
          <w:rPr>
            <w:noProof/>
            <w:webHidden/>
          </w:rPr>
        </w:r>
        <w:r w:rsidR="001F1002">
          <w:rPr>
            <w:noProof/>
            <w:webHidden/>
          </w:rPr>
          <w:fldChar w:fldCharType="separate"/>
        </w:r>
        <w:r w:rsidR="00243B8C">
          <w:rPr>
            <w:noProof/>
            <w:webHidden/>
          </w:rPr>
          <w:t>96</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8" w:history="1">
        <w:r w:rsidR="001F1002" w:rsidRPr="002648D8">
          <w:rPr>
            <w:rStyle w:val="af1"/>
            <w:rFonts w:hint="eastAsia"/>
            <w:noProof/>
          </w:rPr>
          <w:t>圖</w:t>
        </w:r>
        <w:r w:rsidR="001F1002" w:rsidRPr="002648D8">
          <w:rPr>
            <w:rStyle w:val="af1"/>
            <w:noProof/>
          </w:rPr>
          <w:t>5-1</w:t>
        </w:r>
        <w:r w:rsidR="001F1002" w:rsidRPr="002648D8">
          <w:rPr>
            <w:rStyle w:val="af1"/>
            <w:rFonts w:hint="eastAsia"/>
            <w:noProof/>
          </w:rPr>
          <w:t xml:space="preserve">　兩岸每名就業人員勞動生產力：</w:t>
        </w:r>
        <w:r w:rsidR="001F1002" w:rsidRPr="002648D8">
          <w:rPr>
            <w:rStyle w:val="af1"/>
            <w:noProof/>
          </w:rPr>
          <w:t>1991-2013</w:t>
        </w:r>
        <w:r w:rsidR="001F1002" w:rsidRPr="002648D8">
          <w:rPr>
            <w:rStyle w:val="af1"/>
            <w:rFonts w:hint="eastAsia"/>
            <w:noProof/>
          </w:rPr>
          <w:t>年</w:t>
        </w:r>
        <w:r w:rsidR="001F1002">
          <w:rPr>
            <w:noProof/>
            <w:webHidden/>
          </w:rPr>
          <w:tab/>
        </w:r>
        <w:r w:rsidR="001F1002">
          <w:rPr>
            <w:noProof/>
            <w:webHidden/>
          </w:rPr>
          <w:fldChar w:fldCharType="begin"/>
        </w:r>
        <w:r w:rsidR="001F1002">
          <w:rPr>
            <w:noProof/>
            <w:webHidden/>
          </w:rPr>
          <w:instrText xml:space="preserve"> PAGEREF _Toc405462638 \h </w:instrText>
        </w:r>
        <w:r w:rsidR="001F1002">
          <w:rPr>
            <w:noProof/>
            <w:webHidden/>
          </w:rPr>
        </w:r>
        <w:r w:rsidR="001F1002">
          <w:rPr>
            <w:noProof/>
            <w:webHidden/>
          </w:rPr>
          <w:fldChar w:fldCharType="separate"/>
        </w:r>
        <w:r w:rsidR="00243B8C">
          <w:rPr>
            <w:noProof/>
            <w:webHidden/>
          </w:rPr>
          <w:t>116</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39" w:history="1">
        <w:r w:rsidR="001F1002" w:rsidRPr="002648D8">
          <w:rPr>
            <w:rStyle w:val="af1"/>
            <w:rFonts w:hint="eastAsia"/>
            <w:noProof/>
          </w:rPr>
          <w:t>圖</w:t>
        </w:r>
        <w:r w:rsidR="001F1002" w:rsidRPr="002648D8">
          <w:rPr>
            <w:rStyle w:val="af1"/>
            <w:noProof/>
          </w:rPr>
          <w:t>5-2</w:t>
        </w:r>
        <w:r w:rsidR="001F1002" w:rsidRPr="002648D8">
          <w:rPr>
            <w:rStyle w:val="af1"/>
            <w:rFonts w:hint="eastAsia"/>
            <w:noProof/>
          </w:rPr>
          <w:t xml:space="preserve">　兩岸勞動生產力成長率：</w:t>
        </w:r>
        <w:r w:rsidR="001F1002" w:rsidRPr="002648D8">
          <w:rPr>
            <w:rStyle w:val="af1"/>
            <w:noProof/>
          </w:rPr>
          <w:t>1971-2011</w:t>
        </w:r>
        <w:r w:rsidR="001F1002" w:rsidRPr="002648D8">
          <w:rPr>
            <w:rStyle w:val="af1"/>
            <w:rFonts w:hint="eastAsia"/>
            <w:noProof/>
          </w:rPr>
          <w:t>年</w:t>
        </w:r>
        <w:r w:rsidR="001F1002">
          <w:rPr>
            <w:noProof/>
            <w:webHidden/>
          </w:rPr>
          <w:tab/>
        </w:r>
        <w:r w:rsidR="001F1002">
          <w:rPr>
            <w:noProof/>
            <w:webHidden/>
          </w:rPr>
          <w:fldChar w:fldCharType="begin"/>
        </w:r>
        <w:r w:rsidR="001F1002">
          <w:rPr>
            <w:noProof/>
            <w:webHidden/>
          </w:rPr>
          <w:instrText xml:space="preserve"> PAGEREF _Toc405462639 \h </w:instrText>
        </w:r>
        <w:r w:rsidR="001F1002">
          <w:rPr>
            <w:noProof/>
            <w:webHidden/>
          </w:rPr>
        </w:r>
        <w:r w:rsidR="001F1002">
          <w:rPr>
            <w:noProof/>
            <w:webHidden/>
          </w:rPr>
          <w:fldChar w:fldCharType="separate"/>
        </w:r>
        <w:r w:rsidR="00243B8C">
          <w:rPr>
            <w:noProof/>
            <w:webHidden/>
          </w:rPr>
          <w:t>117</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40" w:history="1">
        <w:r w:rsidR="001F1002" w:rsidRPr="002648D8">
          <w:rPr>
            <w:rStyle w:val="af1"/>
            <w:rFonts w:hint="eastAsia"/>
            <w:noProof/>
          </w:rPr>
          <w:t>圖</w:t>
        </w:r>
        <w:r w:rsidR="001F1002" w:rsidRPr="002648D8">
          <w:rPr>
            <w:rStyle w:val="af1"/>
            <w:noProof/>
          </w:rPr>
          <w:t>5-3</w:t>
        </w:r>
        <w:r w:rsidR="001F1002" w:rsidRPr="002648D8">
          <w:rPr>
            <w:rStyle w:val="af1"/>
            <w:rFonts w:hint="eastAsia"/>
            <w:noProof/>
          </w:rPr>
          <w:t xml:space="preserve">　兩岸工業機器人保有量：</w:t>
        </w:r>
        <w:r w:rsidR="001F1002" w:rsidRPr="002648D8">
          <w:rPr>
            <w:rStyle w:val="af1"/>
            <w:noProof/>
          </w:rPr>
          <w:t>1999-2013</w:t>
        </w:r>
        <w:r w:rsidR="001F1002" w:rsidRPr="002648D8">
          <w:rPr>
            <w:rStyle w:val="af1"/>
            <w:rFonts w:hint="eastAsia"/>
            <w:noProof/>
          </w:rPr>
          <w:t>年</w:t>
        </w:r>
        <w:r w:rsidR="001F1002">
          <w:rPr>
            <w:noProof/>
            <w:webHidden/>
          </w:rPr>
          <w:tab/>
        </w:r>
        <w:r w:rsidR="001F1002">
          <w:rPr>
            <w:noProof/>
            <w:webHidden/>
          </w:rPr>
          <w:fldChar w:fldCharType="begin"/>
        </w:r>
        <w:r w:rsidR="001F1002">
          <w:rPr>
            <w:noProof/>
            <w:webHidden/>
          </w:rPr>
          <w:instrText xml:space="preserve"> PAGEREF _Toc405462640 \h </w:instrText>
        </w:r>
        <w:r w:rsidR="001F1002">
          <w:rPr>
            <w:noProof/>
            <w:webHidden/>
          </w:rPr>
        </w:r>
        <w:r w:rsidR="001F1002">
          <w:rPr>
            <w:noProof/>
            <w:webHidden/>
          </w:rPr>
          <w:fldChar w:fldCharType="separate"/>
        </w:r>
        <w:r w:rsidR="00243B8C">
          <w:rPr>
            <w:noProof/>
            <w:webHidden/>
          </w:rPr>
          <w:t>125</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41" w:history="1">
        <w:r w:rsidR="001F1002" w:rsidRPr="002648D8">
          <w:rPr>
            <w:rStyle w:val="af1"/>
            <w:rFonts w:hint="eastAsia"/>
            <w:noProof/>
          </w:rPr>
          <w:t>圖</w:t>
        </w:r>
        <w:r w:rsidR="001F1002" w:rsidRPr="002648D8">
          <w:rPr>
            <w:rStyle w:val="af1"/>
            <w:noProof/>
          </w:rPr>
          <w:t>5-4</w:t>
        </w:r>
        <w:r w:rsidR="001F1002" w:rsidRPr="002648D8">
          <w:rPr>
            <w:rStyle w:val="af1"/>
            <w:rFonts w:hint="eastAsia"/>
            <w:noProof/>
          </w:rPr>
          <w:t xml:space="preserve">　兩岸電子業自動化競爭示意圖</w:t>
        </w:r>
        <w:r w:rsidR="001F1002">
          <w:rPr>
            <w:noProof/>
            <w:webHidden/>
          </w:rPr>
          <w:tab/>
        </w:r>
        <w:r w:rsidR="001F1002">
          <w:rPr>
            <w:noProof/>
            <w:webHidden/>
          </w:rPr>
          <w:fldChar w:fldCharType="begin"/>
        </w:r>
        <w:r w:rsidR="001F1002">
          <w:rPr>
            <w:noProof/>
            <w:webHidden/>
          </w:rPr>
          <w:instrText xml:space="preserve"> PAGEREF _Toc405462641 \h </w:instrText>
        </w:r>
        <w:r w:rsidR="001F1002">
          <w:rPr>
            <w:noProof/>
            <w:webHidden/>
          </w:rPr>
        </w:r>
        <w:r w:rsidR="001F1002">
          <w:rPr>
            <w:noProof/>
            <w:webHidden/>
          </w:rPr>
          <w:fldChar w:fldCharType="separate"/>
        </w:r>
        <w:r w:rsidR="00243B8C">
          <w:rPr>
            <w:noProof/>
            <w:webHidden/>
          </w:rPr>
          <w:t>136</w:t>
        </w:r>
        <w:r w:rsidR="001F1002">
          <w:rPr>
            <w:noProof/>
            <w:webHidden/>
          </w:rPr>
          <w:fldChar w:fldCharType="end"/>
        </w:r>
      </w:hyperlink>
    </w:p>
    <w:p w:rsidR="001F1002" w:rsidRPr="00864D77" w:rsidRDefault="00E74EB3">
      <w:pPr>
        <w:pStyle w:val="12"/>
        <w:tabs>
          <w:tab w:val="right" w:leader="dot" w:pos="8296"/>
        </w:tabs>
        <w:rPr>
          <w:rFonts w:ascii="Calibri" w:eastAsia="新細明體" w:hAnsi="Calibri"/>
          <w:noProof/>
          <w:sz w:val="24"/>
          <w:szCs w:val="22"/>
        </w:rPr>
      </w:pPr>
      <w:hyperlink w:anchor="_Toc405462642" w:history="1">
        <w:r w:rsidR="001F1002" w:rsidRPr="002648D8">
          <w:rPr>
            <w:rStyle w:val="af1"/>
            <w:rFonts w:hint="eastAsia"/>
            <w:noProof/>
          </w:rPr>
          <w:t>圖</w:t>
        </w:r>
        <w:r w:rsidR="001F1002" w:rsidRPr="002648D8">
          <w:rPr>
            <w:rStyle w:val="af1"/>
            <w:noProof/>
          </w:rPr>
          <w:t>5-5</w:t>
        </w:r>
        <w:r w:rsidR="001F1002" w:rsidRPr="002648D8">
          <w:rPr>
            <w:rStyle w:val="af1"/>
            <w:rFonts w:hint="eastAsia"/>
            <w:noProof/>
          </w:rPr>
          <w:t xml:space="preserve">　兩岸食品業自動化競爭示意圖</w:t>
        </w:r>
        <w:r w:rsidR="001F1002">
          <w:rPr>
            <w:noProof/>
            <w:webHidden/>
          </w:rPr>
          <w:tab/>
        </w:r>
        <w:r w:rsidR="001F1002">
          <w:rPr>
            <w:noProof/>
            <w:webHidden/>
          </w:rPr>
          <w:fldChar w:fldCharType="begin"/>
        </w:r>
        <w:r w:rsidR="001F1002">
          <w:rPr>
            <w:noProof/>
            <w:webHidden/>
          </w:rPr>
          <w:instrText xml:space="preserve"> PAGEREF _Toc405462642 \h </w:instrText>
        </w:r>
        <w:r w:rsidR="001F1002">
          <w:rPr>
            <w:noProof/>
            <w:webHidden/>
          </w:rPr>
        </w:r>
        <w:r w:rsidR="001F1002">
          <w:rPr>
            <w:noProof/>
            <w:webHidden/>
          </w:rPr>
          <w:fldChar w:fldCharType="separate"/>
        </w:r>
        <w:r w:rsidR="00243B8C">
          <w:rPr>
            <w:noProof/>
            <w:webHidden/>
          </w:rPr>
          <w:t>141</w:t>
        </w:r>
        <w:r w:rsidR="001F1002">
          <w:rPr>
            <w:noProof/>
            <w:webHidden/>
          </w:rPr>
          <w:fldChar w:fldCharType="end"/>
        </w:r>
      </w:hyperlink>
    </w:p>
    <w:p w:rsidR="00A7436E" w:rsidRPr="0095677D" w:rsidRDefault="00AE4CDA" w:rsidP="00EC1A26">
      <w:pPr>
        <w:pStyle w:val="12"/>
        <w:tabs>
          <w:tab w:val="right" w:leader="dot" w:pos="8296"/>
        </w:tabs>
        <w:rPr>
          <w:noProof/>
          <w:color w:val="0000FF"/>
          <w:u w:val="single"/>
        </w:rPr>
        <w:sectPr w:rsidR="00A7436E" w:rsidRPr="0095677D" w:rsidSect="00C82B73">
          <w:type w:val="oddPage"/>
          <w:pgSz w:w="11906" w:h="16838"/>
          <w:pgMar w:top="1440" w:right="1800" w:bottom="1440" w:left="1800" w:header="851" w:footer="992" w:gutter="0"/>
          <w:pgNumType w:fmt="upperRoman"/>
          <w:cols w:space="425"/>
          <w:docGrid w:type="lines" w:linePitch="360"/>
        </w:sectPr>
      </w:pPr>
      <w:r w:rsidRPr="00EC1A26">
        <w:rPr>
          <w:rStyle w:val="af1"/>
          <w:noProof/>
        </w:rPr>
        <w:fldChar w:fldCharType="end"/>
      </w:r>
    </w:p>
    <w:p w:rsidR="007E0B21" w:rsidRPr="00EC2334" w:rsidRDefault="00DB0C74" w:rsidP="007E0B21">
      <w:pPr>
        <w:pStyle w:val="1"/>
      </w:pPr>
      <w:bookmarkStart w:id="4" w:name="_Toc405462577"/>
      <w:bookmarkStart w:id="5" w:name="_Toc389203183"/>
      <w:r w:rsidRPr="00D226F6">
        <w:rPr>
          <w:rFonts w:hint="eastAsia"/>
        </w:rPr>
        <w:lastRenderedPageBreak/>
        <w:t>摘　要</w:t>
      </w:r>
      <w:bookmarkEnd w:id="4"/>
    </w:p>
    <w:p w:rsidR="00FD246A" w:rsidRPr="0090432D" w:rsidRDefault="00FD246A" w:rsidP="00FD246A">
      <w:pPr>
        <w:pStyle w:val="-"/>
        <w:spacing w:before="108" w:after="108"/>
        <w:ind w:firstLine="520"/>
        <w:rPr>
          <w:rFonts w:ascii="標楷體" w:hAnsi="標楷體"/>
          <w:szCs w:val="26"/>
        </w:rPr>
      </w:pPr>
      <w:r w:rsidRPr="0090432D">
        <w:rPr>
          <w:rFonts w:ascii="標楷體" w:hAnsi="標楷體" w:hint="eastAsia"/>
          <w:szCs w:val="26"/>
        </w:rPr>
        <w:t>本研究根據中國大陸經濟與產業趨勢的最新發展，以及中共十八大換屆新一代領導執政後為背景，關注習李新政重大改革動向觀察，並以最新公布之十八屆三中全會改革方案內容所描繪之改革前景，選擇具體專題包含「稅制調整下生產性服務業之發展」、「中國大陸對外開放及區域經貿戰略之調整」、「自動化趨勢對兩岸製造業競爭之影響」等具有戰略高度且與我經濟較有相關的部分進行深入分析，從機會與挑戰角度來研判其對我國未來經濟、產業與兩岸經貿之影響。本研究之主要結論為：</w:t>
      </w:r>
    </w:p>
    <w:p w:rsidR="00FD246A" w:rsidRPr="0090432D" w:rsidRDefault="00FD246A" w:rsidP="00FD246A">
      <w:pPr>
        <w:pStyle w:val="-"/>
        <w:numPr>
          <w:ilvl w:val="0"/>
          <w:numId w:val="29"/>
        </w:numPr>
        <w:spacing w:before="108" w:after="108"/>
        <w:ind w:firstLineChars="0"/>
        <w:rPr>
          <w:rFonts w:ascii="標楷體" w:hAnsi="標楷體"/>
          <w:szCs w:val="26"/>
        </w:rPr>
      </w:pPr>
      <w:r w:rsidRPr="0090432D">
        <w:rPr>
          <w:rFonts w:ascii="標楷體" w:hAnsi="標楷體" w:hint="eastAsia"/>
          <w:szCs w:val="26"/>
        </w:rPr>
        <w:t>習李新政大幅調整經濟與區域治理思維</w:t>
      </w:r>
    </w:p>
    <w:p w:rsidR="00FD246A" w:rsidRPr="0090432D" w:rsidRDefault="00FD246A" w:rsidP="00FD246A">
      <w:pPr>
        <w:pStyle w:val="-"/>
        <w:numPr>
          <w:ilvl w:val="0"/>
          <w:numId w:val="29"/>
        </w:numPr>
        <w:spacing w:before="108" w:after="108"/>
        <w:ind w:firstLineChars="0"/>
        <w:rPr>
          <w:rFonts w:ascii="標楷體" w:hAnsi="標楷體"/>
          <w:szCs w:val="26"/>
        </w:rPr>
      </w:pPr>
      <w:r w:rsidRPr="0090432D">
        <w:rPr>
          <w:rFonts w:ascii="標楷體" w:hAnsi="標楷體" w:hint="eastAsia"/>
          <w:szCs w:val="26"/>
        </w:rPr>
        <w:t>稅制變化帶動生產性服務之長期發展</w:t>
      </w:r>
    </w:p>
    <w:p w:rsidR="00FD246A" w:rsidRPr="0090432D" w:rsidRDefault="00FD246A" w:rsidP="00FD246A">
      <w:pPr>
        <w:pStyle w:val="-"/>
        <w:numPr>
          <w:ilvl w:val="0"/>
          <w:numId w:val="29"/>
        </w:numPr>
        <w:spacing w:before="108" w:after="108"/>
        <w:ind w:firstLineChars="0"/>
        <w:rPr>
          <w:rFonts w:ascii="標楷體" w:hAnsi="標楷體"/>
          <w:szCs w:val="26"/>
        </w:rPr>
      </w:pPr>
      <w:r w:rsidRPr="0090432D">
        <w:rPr>
          <w:rFonts w:ascii="標楷體" w:hAnsi="標楷體" w:hint="eastAsia"/>
          <w:szCs w:val="26"/>
        </w:rPr>
        <w:t>轉向大國崛起之對外戰略思維</w:t>
      </w:r>
    </w:p>
    <w:p w:rsidR="00FD246A" w:rsidRPr="0090432D" w:rsidRDefault="00FD246A" w:rsidP="00FD246A">
      <w:pPr>
        <w:pStyle w:val="-"/>
        <w:numPr>
          <w:ilvl w:val="0"/>
          <w:numId w:val="29"/>
        </w:numPr>
        <w:spacing w:before="108" w:after="108"/>
        <w:ind w:firstLineChars="0"/>
        <w:rPr>
          <w:rFonts w:ascii="標楷體" w:hAnsi="標楷體"/>
          <w:szCs w:val="26"/>
        </w:rPr>
      </w:pPr>
      <w:r w:rsidRPr="0090432D">
        <w:rPr>
          <w:rFonts w:ascii="標楷體" w:hAnsi="標楷體" w:hint="eastAsia"/>
          <w:szCs w:val="26"/>
        </w:rPr>
        <w:t>自動化趨勢提升兩岸製造業競爭層級</w:t>
      </w:r>
    </w:p>
    <w:p w:rsidR="00FD246A" w:rsidRPr="0090432D" w:rsidRDefault="00FD246A" w:rsidP="00FD246A">
      <w:pPr>
        <w:pStyle w:val="-"/>
        <w:spacing w:before="108" w:after="108"/>
        <w:ind w:firstLine="520"/>
        <w:rPr>
          <w:rFonts w:ascii="標楷體" w:hAnsi="標楷體"/>
          <w:szCs w:val="26"/>
        </w:rPr>
      </w:pPr>
      <w:r w:rsidRPr="0090432D">
        <w:rPr>
          <w:rFonts w:ascii="標楷體" w:hAnsi="標楷體" w:hint="eastAsia"/>
          <w:szCs w:val="26"/>
        </w:rPr>
        <w:t>本研究提出之具體政策建議簡述如下：</w:t>
      </w:r>
    </w:p>
    <w:p w:rsidR="00FD246A" w:rsidRPr="0090432D" w:rsidRDefault="00FD246A" w:rsidP="00FD246A">
      <w:pPr>
        <w:pStyle w:val="-"/>
        <w:spacing w:before="108" w:after="108"/>
        <w:ind w:firstLine="520"/>
        <w:rPr>
          <w:rFonts w:ascii="標楷體" w:hAnsi="標楷體"/>
          <w:szCs w:val="26"/>
          <w:u w:val="single"/>
        </w:rPr>
      </w:pPr>
      <w:r w:rsidRPr="0090432D">
        <w:rPr>
          <w:rFonts w:ascii="標楷體" w:hAnsi="標楷體" w:hint="eastAsia"/>
          <w:szCs w:val="26"/>
          <w:u w:val="single"/>
        </w:rPr>
        <w:t>關於中國大陸臺商經營</w:t>
      </w:r>
    </w:p>
    <w:p w:rsidR="00FD246A" w:rsidRPr="0090432D" w:rsidRDefault="00FD246A" w:rsidP="00FD246A">
      <w:pPr>
        <w:pStyle w:val="-"/>
        <w:numPr>
          <w:ilvl w:val="0"/>
          <w:numId w:val="8"/>
        </w:numPr>
        <w:spacing w:before="108" w:after="108"/>
        <w:ind w:firstLineChars="0"/>
        <w:rPr>
          <w:szCs w:val="26"/>
        </w:rPr>
      </w:pPr>
      <w:r w:rsidRPr="0090432D">
        <w:rPr>
          <w:rFonts w:hint="eastAsia"/>
          <w:szCs w:val="26"/>
        </w:rPr>
        <w:t>臺商應積極思考海陸絲綢之路戰略下</w:t>
      </w:r>
      <w:r w:rsidR="00221F5B" w:rsidRPr="0090432D">
        <w:rPr>
          <w:rFonts w:hint="eastAsia"/>
          <w:szCs w:val="26"/>
        </w:rPr>
        <w:t>，</w:t>
      </w:r>
      <w:r w:rsidRPr="0090432D">
        <w:rPr>
          <w:rFonts w:hint="eastAsia"/>
          <w:szCs w:val="26"/>
        </w:rPr>
        <w:t>營造、機電或資訊設備領域之機會，對於在大陸內陸較有基礎的臺商而言，投資經營視野亦應由「開發中國大陸內需」再加上「開拓中、西、南亞以及歐洲國際市場」之概念。</w:t>
      </w:r>
    </w:p>
    <w:p w:rsidR="00FD246A" w:rsidRPr="0090432D" w:rsidRDefault="00FD246A" w:rsidP="00FD246A">
      <w:pPr>
        <w:pStyle w:val="-"/>
        <w:numPr>
          <w:ilvl w:val="0"/>
          <w:numId w:val="8"/>
        </w:numPr>
        <w:spacing w:before="108" w:after="108"/>
        <w:ind w:firstLineChars="0"/>
        <w:rPr>
          <w:szCs w:val="26"/>
        </w:rPr>
      </w:pPr>
      <w:r w:rsidRPr="0090432D">
        <w:rPr>
          <w:rFonts w:hint="eastAsia"/>
          <w:szCs w:val="26"/>
        </w:rPr>
        <w:t>京津冀未來臺商經營整體布局可以更有彈性且思考在此經營有助於臺商強化與日本、韓國之合作。</w:t>
      </w:r>
    </w:p>
    <w:p w:rsidR="00FD246A" w:rsidRPr="0090432D" w:rsidRDefault="00FD246A" w:rsidP="00FD246A">
      <w:pPr>
        <w:pStyle w:val="af7"/>
        <w:numPr>
          <w:ilvl w:val="0"/>
          <w:numId w:val="8"/>
        </w:numPr>
        <w:spacing w:before="180" w:after="180" w:line="460" w:lineRule="exact"/>
        <w:ind w:firstLineChars="0"/>
        <w:rPr>
          <w:sz w:val="26"/>
          <w:szCs w:val="26"/>
        </w:rPr>
      </w:pPr>
      <w:r w:rsidRPr="0090432D">
        <w:rPr>
          <w:rFonts w:hint="eastAsia"/>
          <w:sz w:val="26"/>
          <w:szCs w:val="26"/>
        </w:rPr>
        <w:t>臺商可結合上海自貿區與長江經濟帶規劃，思考以上海或長三角為基地，延長江向上發展新型城鎮化帶動下之內陸市場。</w:t>
      </w:r>
    </w:p>
    <w:p w:rsidR="00FD246A" w:rsidRPr="0090432D" w:rsidRDefault="00FD246A" w:rsidP="00FD246A">
      <w:pPr>
        <w:pStyle w:val="-"/>
        <w:numPr>
          <w:ilvl w:val="0"/>
          <w:numId w:val="9"/>
        </w:numPr>
        <w:spacing w:before="108" w:after="108"/>
        <w:ind w:firstLineChars="0"/>
        <w:rPr>
          <w:szCs w:val="26"/>
        </w:rPr>
      </w:pPr>
      <w:r w:rsidRPr="0090432D">
        <w:rPr>
          <w:rFonts w:hint="eastAsia"/>
          <w:szCs w:val="26"/>
        </w:rPr>
        <w:t>因應營改增稅制調整，建議政府針對水路運輸服務、有形動產租賃業以及研發和技術服務、資訊技術服務、文化創意服務、鑒證諮詢服務等優</w:t>
      </w:r>
      <w:r w:rsidRPr="0090432D">
        <w:rPr>
          <w:rFonts w:hint="eastAsia"/>
          <w:szCs w:val="26"/>
        </w:rPr>
        <w:lastRenderedPageBreak/>
        <w:t>勢服務業中有必要赴客戶所在地投資者，推動有助於排除其赴大陸投資之障礙。</w:t>
      </w:r>
    </w:p>
    <w:p w:rsidR="00FD246A" w:rsidRPr="0090432D" w:rsidRDefault="00FD246A" w:rsidP="00FD246A">
      <w:pPr>
        <w:pStyle w:val="af7"/>
        <w:numPr>
          <w:ilvl w:val="0"/>
          <w:numId w:val="9"/>
        </w:numPr>
        <w:spacing w:before="180" w:after="180" w:line="460" w:lineRule="exact"/>
        <w:ind w:firstLineChars="0"/>
        <w:rPr>
          <w:sz w:val="26"/>
          <w:szCs w:val="26"/>
        </w:rPr>
      </w:pPr>
      <w:r w:rsidRPr="0090432D">
        <w:rPr>
          <w:rFonts w:hint="eastAsia"/>
          <w:sz w:val="26"/>
          <w:szCs w:val="26"/>
        </w:rPr>
        <w:t>臺灣自動化中游設備製造產業走向製造服務化，推廣中國大陸市場應用。</w:t>
      </w:r>
    </w:p>
    <w:p w:rsidR="00FD246A" w:rsidRPr="0090432D" w:rsidRDefault="00FD246A" w:rsidP="00FD246A">
      <w:pPr>
        <w:pStyle w:val="-"/>
        <w:numPr>
          <w:ilvl w:val="0"/>
          <w:numId w:val="9"/>
        </w:numPr>
        <w:spacing w:before="108" w:after="108"/>
        <w:ind w:firstLineChars="0"/>
        <w:rPr>
          <w:szCs w:val="26"/>
        </w:rPr>
      </w:pPr>
      <w:r w:rsidRPr="0090432D">
        <w:rPr>
          <w:rFonts w:hint="eastAsia"/>
          <w:szCs w:val="26"/>
        </w:rPr>
        <w:t>臺商投資中國大陸之方向應該跳脫以往思維，並考慮已有之基礎，朝向新興產業、附加價值高之產業或是舊產業升級轉型等方向來思考投資。</w:t>
      </w:r>
    </w:p>
    <w:p w:rsidR="00FD246A" w:rsidRPr="0090432D" w:rsidRDefault="00FD246A" w:rsidP="00FD246A">
      <w:pPr>
        <w:pStyle w:val="-"/>
        <w:spacing w:before="108" w:after="108"/>
        <w:ind w:firstLine="520"/>
        <w:rPr>
          <w:rFonts w:ascii="標楷體" w:hAnsi="標楷體"/>
          <w:szCs w:val="26"/>
          <w:u w:val="single"/>
        </w:rPr>
      </w:pPr>
      <w:r w:rsidRPr="0090432D">
        <w:rPr>
          <w:rFonts w:ascii="標楷體" w:hAnsi="標楷體" w:hint="eastAsia"/>
          <w:szCs w:val="26"/>
          <w:u w:val="single"/>
        </w:rPr>
        <w:t>關於我國產業與貿易發展</w:t>
      </w:r>
    </w:p>
    <w:p w:rsidR="00FD246A" w:rsidRPr="0090432D" w:rsidRDefault="00FD246A" w:rsidP="00FD246A">
      <w:pPr>
        <w:pStyle w:val="-"/>
        <w:numPr>
          <w:ilvl w:val="0"/>
          <w:numId w:val="30"/>
        </w:numPr>
        <w:spacing w:before="108" w:after="108"/>
        <w:ind w:firstLineChars="0"/>
        <w:rPr>
          <w:rFonts w:ascii="標楷體" w:hAnsi="標楷體"/>
          <w:szCs w:val="26"/>
        </w:rPr>
      </w:pPr>
      <w:r w:rsidRPr="0090432D">
        <w:rPr>
          <w:rFonts w:ascii="標楷體" w:hAnsi="標楷體" w:hint="eastAsia"/>
          <w:szCs w:val="26"/>
        </w:rPr>
        <w:t>我國以中國大陸為重要海外市場的思維必須要更聚焦於選擇性的產業，例如綠色環保產業、城鎮發展建設之需求等。</w:t>
      </w:r>
    </w:p>
    <w:p w:rsidR="00FD246A" w:rsidRPr="0090432D" w:rsidRDefault="00FD246A" w:rsidP="00FD246A">
      <w:pPr>
        <w:pStyle w:val="-"/>
        <w:numPr>
          <w:ilvl w:val="0"/>
          <w:numId w:val="30"/>
        </w:numPr>
        <w:spacing w:before="108" w:after="108"/>
        <w:ind w:firstLineChars="0"/>
        <w:rPr>
          <w:rFonts w:ascii="標楷體" w:hAnsi="標楷體"/>
          <w:szCs w:val="26"/>
        </w:rPr>
      </w:pPr>
      <w:r w:rsidRPr="0090432D">
        <w:rPr>
          <w:rFonts w:ascii="標楷體" w:hAnsi="標楷體" w:hint="eastAsia"/>
          <w:szCs w:val="26"/>
        </w:rPr>
        <w:t>政府應持續追蹤新型城鎮化發展，以及各種點城市群建設之特色，從中尋找可能形成我國產業與臺商的機會。</w:t>
      </w:r>
    </w:p>
    <w:p w:rsidR="00FD246A" w:rsidRPr="0090432D" w:rsidRDefault="00FD246A" w:rsidP="00FD246A">
      <w:pPr>
        <w:pStyle w:val="-"/>
        <w:numPr>
          <w:ilvl w:val="0"/>
          <w:numId w:val="30"/>
        </w:numPr>
        <w:spacing w:before="108" w:after="108"/>
        <w:ind w:firstLineChars="0"/>
        <w:rPr>
          <w:rFonts w:ascii="標楷體" w:hAnsi="標楷體"/>
          <w:szCs w:val="26"/>
        </w:rPr>
      </w:pPr>
      <w:r w:rsidRPr="0090432D">
        <w:rPr>
          <w:rFonts w:ascii="標楷體" w:hAnsi="標楷體" w:hint="eastAsia"/>
          <w:szCs w:val="26"/>
        </w:rPr>
        <w:t>營改增推進生產性服務業在中國大陸的發展空間，我國可針對研發和技術服務、資訊技術服務、文化創意服務、鑒證諮詢服務等優勢服務業，推動其跨境向中國大陸提供服務。</w:t>
      </w:r>
    </w:p>
    <w:p w:rsidR="00FD246A" w:rsidRPr="0090432D" w:rsidRDefault="00FD246A" w:rsidP="00FD246A">
      <w:pPr>
        <w:pStyle w:val="-"/>
        <w:numPr>
          <w:ilvl w:val="0"/>
          <w:numId w:val="30"/>
        </w:numPr>
        <w:spacing w:before="108" w:after="108"/>
        <w:ind w:firstLineChars="0"/>
        <w:rPr>
          <w:rFonts w:ascii="標楷體" w:hAnsi="標楷體"/>
          <w:szCs w:val="26"/>
        </w:rPr>
      </w:pPr>
      <w:r w:rsidRPr="0090432D">
        <w:rPr>
          <w:rFonts w:ascii="標楷體" w:hAnsi="標楷體" w:hint="eastAsia"/>
          <w:szCs w:val="26"/>
        </w:rPr>
        <w:t>政府應扶持自動化下游系統整合（SI）產業，一方面替供給端開拓市場，另一方面擴大需求端應用場域</w:t>
      </w:r>
      <w:r w:rsidR="00221F5B" w:rsidRPr="0090432D">
        <w:rPr>
          <w:rFonts w:ascii="標楷體" w:hAnsi="標楷體" w:hint="eastAsia"/>
          <w:szCs w:val="26"/>
        </w:rPr>
        <w:t>。</w:t>
      </w:r>
    </w:p>
    <w:p w:rsidR="00FD246A" w:rsidRPr="0090432D" w:rsidRDefault="00FD246A" w:rsidP="00FD246A">
      <w:pPr>
        <w:pStyle w:val="-"/>
        <w:spacing w:before="108" w:after="108"/>
        <w:ind w:firstLine="520"/>
        <w:rPr>
          <w:rFonts w:ascii="標楷體" w:hAnsi="標楷體"/>
          <w:szCs w:val="26"/>
          <w:u w:val="single"/>
        </w:rPr>
      </w:pPr>
      <w:r w:rsidRPr="0090432D">
        <w:rPr>
          <w:rFonts w:ascii="標楷體" w:hAnsi="標楷體" w:hint="eastAsia"/>
          <w:szCs w:val="26"/>
          <w:u w:val="single"/>
        </w:rPr>
        <w:t>關於兩岸政策前瞻</w:t>
      </w:r>
    </w:p>
    <w:p w:rsidR="00FD246A" w:rsidRPr="0090432D" w:rsidRDefault="00FD246A" w:rsidP="00FD246A">
      <w:pPr>
        <w:pStyle w:val="-"/>
        <w:numPr>
          <w:ilvl w:val="0"/>
          <w:numId w:val="31"/>
        </w:numPr>
        <w:spacing w:before="108" w:after="108"/>
        <w:ind w:firstLineChars="0"/>
        <w:rPr>
          <w:rFonts w:ascii="標楷體" w:hAnsi="標楷體"/>
          <w:szCs w:val="26"/>
        </w:rPr>
      </w:pPr>
      <w:r w:rsidRPr="0090432D">
        <w:rPr>
          <w:rFonts w:ascii="標楷體" w:hAnsi="標楷體" w:hint="eastAsia"/>
          <w:szCs w:val="26"/>
        </w:rPr>
        <w:t>就總體政策規劃層面，首先，應掌握上海自貿區試驗措施或經驗可能在未來推展至全大陸實施的意涵，以及早判斷其未來相關政策走向並預為因應。其次，應探討絲路戰略短中期之機會與風險以及更長期的因應對策。</w:t>
      </w:r>
    </w:p>
    <w:p w:rsidR="00FD246A" w:rsidRPr="0090432D" w:rsidRDefault="00FD246A" w:rsidP="00FD246A">
      <w:pPr>
        <w:pStyle w:val="-"/>
        <w:numPr>
          <w:ilvl w:val="0"/>
          <w:numId w:val="31"/>
        </w:numPr>
        <w:spacing w:before="108" w:after="108"/>
        <w:ind w:firstLineChars="0"/>
        <w:rPr>
          <w:rFonts w:ascii="標楷體" w:hAnsi="標楷體"/>
          <w:szCs w:val="26"/>
        </w:rPr>
      </w:pPr>
      <w:r w:rsidRPr="0090432D">
        <w:rPr>
          <w:rFonts w:ascii="標楷體" w:hAnsi="標楷體" w:hint="eastAsia"/>
          <w:szCs w:val="26"/>
        </w:rPr>
        <w:t>就市場開放及商機層面，首先，政府應積極探討海陸絲綢之路戰略在營造、機電或資訊設備領域之機會，透過各種兩岸平臺來協助臺商參與。其次，針對新型城鎮化所帶來之機會以及區域發展之重新布局與內涵變</w:t>
      </w:r>
      <w:r w:rsidRPr="0090432D">
        <w:rPr>
          <w:rFonts w:ascii="標楷體" w:hAnsi="標楷體" w:hint="eastAsia"/>
          <w:szCs w:val="26"/>
        </w:rPr>
        <w:lastRenderedPageBreak/>
        <w:t>動，應納入兩岸後續協商與談判之考量。</w:t>
      </w:r>
    </w:p>
    <w:p w:rsidR="00FD246A" w:rsidRPr="0090432D" w:rsidRDefault="00FD246A" w:rsidP="00FD246A">
      <w:pPr>
        <w:pStyle w:val="-"/>
        <w:numPr>
          <w:ilvl w:val="0"/>
          <w:numId w:val="31"/>
        </w:numPr>
        <w:spacing w:before="108" w:after="108"/>
        <w:ind w:firstLineChars="0"/>
        <w:rPr>
          <w:rFonts w:ascii="標楷體" w:hAnsi="標楷體"/>
          <w:szCs w:val="26"/>
        </w:rPr>
      </w:pPr>
      <w:r w:rsidRPr="0090432D">
        <w:rPr>
          <w:rFonts w:ascii="標楷體" w:hAnsi="標楷體" w:hint="eastAsia"/>
          <w:szCs w:val="26"/>
        </w:rPr>
        <w:t>就亞太區域整合層面，我國面對國際區域經貿整合的新發展如TPP、RCEP或FTAAP等無論如何都無法避開中國大陸的影響，且其影響力將日益增強，我國應積極利用現有兩岸可對話溝通之平臺與對岸就相關議題進行溝通，以降低我國推進參與國際經貿整合工作中的不確定性。</w:t>
      </w:r>
    </w:p>
    <w:p w:rsidR="00FD246A" w:rsidRPr="0090432D" w:rsidRDefault="00FD246A" w:rsidP="00FD246A">
      <w:pPr>
        <w:pStyle w:val="-"/>
        <w:numPr>
          <w:ilvl w:val="0"/>
          <w:numId w:val="31"/>
        </w:numPr>
        <w:spacing w:before="108" w:after="108"/>
        <w:ind w:firstLineChars="0"/>
        <w:rPr>
          <w:rFonts w:ascii="標楷體" w:hAnsi="標楷體"/>
          <w:szCs w:val="26"/>
        </w:rPr>
      </w:pPr>
      <w:r w:rsidRPr="0090432D">
        <w:rPr>
          <w:rFonts w:ascii="標楷體" w:hAnsi="標楷體" w:hint="eastAsia"/>
          <w:szCs w:val="26"/>
        </w:rPr>
        <w:t>就因應中國大陸十三五規劃層面，首先，政府應從十三五規劃可能的大方向如創新研發、綠色生態與產業轉型等這些面向來擬定產業與臺商政策，培育未來我國之產業機會；其次，面對中國大陸自動化發展，考慮結合中國大陸</w:t>
      </w:r>
      <w:r w:rsidR="0035101D">
        <w:rPr>
          <w:rFonts w:ascii="標楷體" w:hAnsi="標楷體" w:hint="eastAsia"/>
          <w:szCs w:val="26"/>
        </w:rPr>
        <w:t>部分</w:t>
      </w:r>
      <w:r w:rsidRPr="0090432D">
        <w:rPr>
          <w:rFonts w:ascii="標楷體" w:hAnsi="標楷體" w:hint="eastAsia"/>
          <w:szCs w:val="26"/>
        </w:rPr>
        <w:t>較先進之基礎研發能量與臺灣電子資訊的開發能力，兩岸共同推動自動化發展。</w:t>
      </w:r>
    </w:p>
    <w:p w:rsidR="00FD246A" w:rsidRPr="0090432D" w:rsidRDefault="00FD246A" w:rsidP="00FD246A">
      <w:pPr>
        <w:pStyle w:val="-"/>
        <w:spacing w:before="108" w:after="108"/>
        <w:ind w:firstLine="520"/>
        <w:rPr>
          <w:rFonts w:ascii="標楷體" w:hAnsi="標楷體"/>
          <w:szCs w:val="26"/>
          <w:u w:val="single"/>
        </w:rPr>
      </w:pPr>
      <w:r w:rsidRPr="0090432D">
        <w:rPr>
          <w:rFonts w:ascii="標楷體" w:hAnsi="標楷體" w:hint="eastAsia"/>
          <w:szCs w:val="26"/>
          <w:u w:val="single"/>
        </w:rPr>
        <w:t>關於政府未來相關研究議題</w:t>
      </w:r>
    </w:p>
    <w:p w:rsidR="00FD246A" w:rsidRPr="0090432D" w:rsidRDefault="00FD246A" w:rsidP="00FD246A">
      <w:pPr>
        <w:pStyle w:val="-"/>
        <w:numPr>
          <w:ilvl w:val="0"/>
          <w:numId w:val="32"/>
        </w:numPr>
        <w:spacing w:before="108" w:after="108"/>
        <w:ind w:firstLineChars="0"/>
        <w:rPr>
          <w:rFonts w:ascii="標楷體" w:hAnsi="標楷體"/>
          <w:szCs w:val="26"/>
        </w:rPr>
      </w:pPr>
      <w:r w:rsidRPr="0090432D">
        <w:rPr>
          <w:rFonts w:ascii="標楷體" w:hAnsi="標楷體" w:hint="eastAsia"/>
          <w:szCs w:val="26"/>
        </w:rPr>
        <w:t>十三五規劃之編製動向。</w:t>
      </w:r>
    </w:p>
    <w:p w:rsidR="00FD246A" w:rsidRPr="0090432D" w:rsidRDefault="00FD246A" w:rsidP="00FD246A">
      <w:pPr>
        <w:pStyle w:val="-"/>
        <w:numPr>
          <w:ilvl w:val="0"/>
          <w:numId w:val="32"/>
        </w:numPr>
        <w:spacing w:before="108" w:after="108"/>
        <w:ind w:firstLineChars="0"/>
        <w:rPr>
          <w:rFonts w:ascii="標楷體" w:hAnsi="標楷體"/>
          <w:szCs w:val="26"/>
        </w:rPr>
      </w:pPr>
      <w:r w:rsidRPr="0090432D">
        <w:rPr>
          <w:rFonts w:ascii="標楷體" w:hAnsi="標楷體" w:hint="eastAsia"/>
          <w:szCs w:val="26"/>
        </w:rPr>
        <w:t>新型城鎮化與重點區域發展之後續推動。</w:t>
      </w:r>
    </w:p>
    <w:p w:rsidR="00FD246A" w:rsidRPr="0090432D" w:rsidRDefault="00FD246A" w:rsidP="00FD246A">
      <w:pPr>
        <w:pStyle w:val="-"/>
        <w:numPr>
          <w:ilvl w:val="0"/>
          <w:numId w:val="32"/>
        </w:numPr>
        <w:spacing w:before="108" w:after="108"/>
        <w:ind w:firstLineChars="0"/>
        <w:rPr>
          <w:rFonts w:ascii="標楷體" w:hAnsi="標楷體"/>
          <w:szCs w:val="26"/>
        </w:rPr>
      </w:pPr>
      <w:r w:rsidRPr="0090432D">
        <w:rPr>
          <w:rFonts w:ascii="標楷體" w:hAnsi="標楷體" w:hint="eastAsia"/>
          <w:szCs w:val="26"/>
        </w:rPr>
        <w:t>針對最新區域經貿發展之整合性研究。</w:t>
      </w:r>
    </w:p>
    <w:p w:rsidR="00FD246A" w:rsidRPr="0090432D" w:rsidRDefault="00FD246A" w:rsidP="00FD246A">
      <w:pPr>
        <w:pStyle w:val="-"/>
        <w:numPr>
          <w:ilvl w:val="0"/>
          <w:numId w:val="32"/>
        </w:numPr>
        <w:spacing w:before="108" w:after="108"/>
        <w:ind w:firstLineChars="0"/>
        <w:rPr>
          <w:rFonts w:ascii="標楷體" w:hAnsi="標楷體"/>
          <w:szCs w:val="26"/>
        </w:rPr>
      </w:pPr>
      <w:r w:rsidRPr="0090432D">
        <w:rPr>
          <w:rFonts w:ascii="標楷體" w:hAnsi="標楷體" w:hint="eastAsia"/>
          <w:szCs w:val="26"/>
        </w:rPr>
        <w:t>我國智慧自動化產業系統政策。</w:t>
      </w:r>
    </w:p>
    <w:p w:rsidR="00D226F6" w:rsidRPr="00FD246A" w:rsidRDefault="00D226F6" w:rsidP="00FD246A">
      <w:pPr>
        <w:pStyle w:val="af7"/>
        <w:spacing w:before="180" w:after="180" w:line="460" w:lineRule="exact"/>
        <w:ind w:firstLineChars="0" w:firstLine="0"/>
      </w:pPr>
    </w:p>
    <w:p w:rsidR="007E0B21" w:rsidRPr="00D226F6" w:rsidRDefault="007E0B21" w:rsidP="00EC2334">
      <w:pPr>
        <w:pStyle w:val="af7"/>
        <w:spacing w:before="180" w:after="180" w:line="460" w:lineRule="exact"/>
        <w:ind w:firstLineChars="0" w:firstLine="0"/>
      </w:pPr>
    </w:p>
    <w:bookmarkEnd w:id="5"/>
    <w:p w:rsidR="001169D5" w:rsidRDefault="001169D5" w:rsidP="00A7436E">
      <w:pPr>
        <w:pStyle w:val="1"/>
        <w:sectPr w:rsidR="001169D5" w:rsidSect="00C023A4">
          <w:footerReference w:type="default" r:id="rId11"/>
          <w:type w:val="oddPage"/>
          <w:pgSz w:w="11906" w:h="16838"/>
          <w:pgMar w:top="1418" w:right="1418" w:bottom="1418" w:left="1418" w:header="851" w:footer="992" w:gutter="0"/>
          <w:pgNumType w:start="1"/>
          <w:cols w:space="425"/>
          <w:docGrid w:type="lines" w:linePitch="360"/>
        </w:sectPr>
      </w:pPr>
    </w:p>
    <w:p w:rsidR="00D20782" w:rsidRPr="009F2A4B" w:rsidRDefault="00DB0C74" w:rsidP="00A7436E">
      <w:pPr>
        <w:pStyle w:val="1"/>
      </w:pPr>
      <w:bookmarkStart w:id="6" w:name="_Toc405462578"/>
      <w:r w:rsidRPr="002679C2">
        <w:rPr>
          <w:rFonts w:hint="eastAsia"/>
        </w:rPr>
        <w:lastRenderedPageBreak/>
        <w:t>第一章　緒論</w:t>
      </w:r>
      <w:bookmarkEnd w:id="6"/>
    </w:p>
    <w:p w:rsidR="00A7436E" w:rsidRPr="009F2A4B" w:rsidRDefault="00A7436E" w:rsidP="00A7436E">
      <w:pPr>
        <w:pStyle w:val="2"/>
        <w:spacing w:before="108" w:after="108"/>
      </w:pPr>
      <w:bookmarkStart w:id="7" w:name="_Toc389203184"/>
      <w:bookmarkStart w:id="8" w:name="_Toc405462579"/>
      <w:r w:rsidRPr="009F2A4B">
        <w:t xml:space="preserve">第一節　</w:t>
      </w:r>
      <w:r w:rsidR="00AF48ED" w:rsidRPr="00AF48ED">
        <w:rPr>
          <w:rFonts w:hint="eastAsia"/>
        </w:rPr>
        <w:t>研究緣起與目的</w:t>
      </w:r>
      <w:bookmarkEnd w:id="7"/>
      <w:bookmarkEnd w:id="8"/>
    </w:p>
    <w:p w:rsidR="004712D1" w:rsidRPr="00576BE6" w:rsidRDefault="00DB0C74" w:rsidP="004712D1">
      <w:pPr>
        <w:pStyle w:val="-"/>
        <w:spacing w:before="108" w:after="108"/>
        <w:ind w:firstLine="520"/>
        <w:rPr>
          <w:rFonts w:ascii="標楷體" w:hAnsi="標楷體"/>
        </w:rPr>
      </w:pPr>
      <w:r w:rsidRPr="00576BE6">
        <w:rPr>
          <w:rFonts w:ascii="標楷體" w:hAnsi="標楷體" w:hint="eastAsia"/>
        </w:rPr>
        <w:t>中國大陸改革開放</w:t>
      </w:r>
      <w:r w:rsidRPr="00576BE6">
        <w:rPr>
          <w:rFonts w:ascii="標楷體" w:hAnsi="標楷體"/>
        </w:rPr>
        <w:t>30</w:t>
      </w:r>
      <w:r w:rsidRPr="00576BE6">
        <w:rPr>
          <w:rFonts w:ascii="標楷體" w:hAnsi="標楷體" w:hint="eastAsia"/>
        </w:rPr>
        <w:t>多年來，在經濟上得以快速發展，雖然以人均水準而言還是開發中國家，但以其總量而言，已成為全球第二大經濟體，在國際上已是動見觀瞻的經濟大國。然而，中國大陸經濟發展過去的路徑選擇是透過自身制度的逐漸改變以及對外開放程度加深，採取亞洲四小龍的加工貿易模式來成長，在此一過程當中，各地方都以經濟成長為施政之優先考量，而當經濟發展到一定程度，過去憑藉著開放促進經濟發展的動因逐漸減弱，長久累積下來的外部性問題一一浮現：像是結構不合理、發展不平衡、成長方式粗放、社會保障不足、環境汙染嚴重等。而在此經濟社會進一步發展的關鍵時刻，卻正值中國大陸政治領導的換屆－中國共產黨</w:t>
      </w:r>
      <w:r w:rsidRPr="00576BE6">
        <w:rPr>
          <w:rFonts w:ascii="標楷體" w:hAnsi="標楷體"/>
        </w:rPr>
        <w:t>(</w:t>
      </w:r>
      <w:r w:rsidRPr="00576BE6">
        <w:rPr>
          <w:rFonts w:ascii="標楷體" w:hAnsi="標楷體" w:hint="eastAsia"/>
        </w:rPr>
        <w:t>以下稱中共</w:t>
      </w:r>
      <w:r w:rsidRPr="00576BE6">
        <w:rPr>
          <w:rFonts w:ascii="標楷體" w:hAnsi="標楷體"/>
        </w:rPr>
        <w:t>)</w:t>
      </w:r>
      <w:r w:rsidRPr="00576BE6">
        <w:rPr>
          <w:rFonts w:ascii="標楷體" w:hAnsi="標楷體" w:hint="eastAsia"/>
        </w:rPr>
        <w:t>於</w:t>
      </w:r>
      <w:r w:rsidRPr="00576BE6">
        <w:rPr>
          <w:rFonts w:ascii="標楷體" w:hAnsi="標楷體"/>
        </w:rPr>
        <w:t>2012</w:t>
      </w:r>
      <w:r w:rsidRPr="00576BE6">
        <w:rPr>
          <w:rFonts w:ascii="標楷體" w:hAnsi="標楷體" w:hint="eastAsia"/>
        </w:rPr>
        <w:t>年底啟動十八大換屆之後，新一代領導人，習近平與李克強，正式上臺執政，繼承了過去經濟發展所累積的資本與問題，同時也面臨如何透過全方位的改革調整，來為其未來執政的十年舖墊經濟與社會進一步發展的體制基礎。</w:t>
      </w:r>
    </w:p>
    <w:p w:rsidR="004712D1" w:rsidRPr="00576BE6" w:rsidRDefault="00DB0C74" w:rsidP="004712D1">
      <w:pPr>
        <w:pStyle w:val="-"/>
        <w:spacing w:before="108" w:after="108"/>
        <w:ind w:firstLine="520"/>
        <w:rPr>
          <w:rFonts w:ascii="標楷體" w:hAnsi="標楷體"/>
        </w:rPr>
      </w:pPr>
      <w:r w:rsidRPr="00576BE6">
        <w:rPr>
          <w:rFonts w:ascii="標楷體" w:hAnsi="標楷體" w:hint="eastAsia"/>
        </w:rPr>
        <w:t>十八屆三中全會可視為習李新政方針最重要的定調場合，因此備受全球關注。</w:t>
      </w:r>
      <w:r w:rsidRPr="00576BE6">
        <w:rPr>
          <w:rFonts w:ascii="標楷體" w:hAnsi="標楷體"/>
        </w:rPr>
        <w:t>2013</w:t>
      </w:r>
      <w:r w:rsidRPr="00576BE6">
        <w:rPr>
          <w:rFonts w:ascii="標楷體" w:hAnsi="標楷體" w:hint="eastAsia"/>
        </w:rPr>
        <w:t>年</w:t>
      </w:r>
      <w:r w:rsidRPr="00576BE6">
        <w:rPr>
          <w:rFonts w:ascii="標楷體" w:hAnsi="標楷體"/>
        </w:rPr>
        <w:t>11</w:t>
      </w:r>
      <w:r w:rsidRPr="00576BE6">
        <w:rPr>
          <w:rFonts w:ascii="標楷體" w:hAnsi="標楷體" w:hint="eastAsia"/>
        </w:rPr>
        <w:t>月</w:t>
      </w:r>
      <w:r w:rsidRPr="00576BE6">
        <w:rPr>
          <w:rFonts w:ascii="標楷體" w:hAnsi="標楷體"/>
        </w:rPr>
        <w:t>12</w:t>
      </w:r>
      <w:r w:rsidRPr="00576BE6">
        <w:rPr>
          <w:rFonts w:ascii="標楷體" w:hAnsi="標楷體" w:hint="eastAsia"/>
        </w:rPr>
        <w:t>日三中全會開完後</w:t>
      </w:r>
      <w:r w:rsidR="007B11B8" w:rsidRPr="00576BE6">
        <w:rPr>
          <w:rFonts w:ascii="標楷體" w:hAnsi="標楷體" w:hint="eastAsia"/>
        </w:rPr>
        <w:t>不久</w:t>
      </w:r>
      <w:r w:rsidR="007B11B8">
        <w:rPr>
          <w:rFonts w:ascii="標楷體" w:hAnsi="標楷體" w:hint="eastAsia"/>
        </w:rPr>
        <w:t>公布</w:t>
      </w:r>
      <w:r w:rsidRPr="00576BE6">
        <w:rPr>
          <w:rFonts w:ascii="標楷體" w:hAnsi="標楷體" w:hint="eastAsia"/>
        </w:rPr>
        <w:t>了《中共中央關於全面深化改革若干重大問題的決定》此一歷史性的文件，揭示中國大陸新一輪深化改革措施將拉開序幕，也對於未來中國大陸全面經濟政策的改變，提供了未來的方向。文件內容指出，深化改革將會是經濟、政治、文化、社會、生態文明</w:t>
      </w:r>
      <w:r w:rsidR="00962851" w:rsidRPr="00576BE6">
        <w:rPr>
          <w:rStyle w:val="aff0"/>
          <w:rFonts w:ascii="標楷體" w:hAnsi="標楷體"/>
        </w:rPr>
        <w:footnoteReference w:id="1"/>
      </w:r>
      <w:r w:rsidRPr="00576BE6">
        <w:rPr>
          <w:rFonts w:ascii="標楷體" w:hAnsi="標楷體" w:hint="eastAsia"/>
        </w:rPr>
        <w:t>和黨建設的改革，但經濟體制改革是其中的重點。這些訊息彰顯了中共高層確實意識到過去經濟發展所累積的問題，早已超出經濟的範疇，無法再用高速成長來迴避，而必須從更廣的層面來謀求解決。尤其是深化到從制度和社會層面等外部性問題著手進行改革，這些層面的改革回過頭來也會影響未來中國大陸經濟與產業下一步的發展。</w:t>
      </w:r>
    </w:p>
    <w:p w:rsidR="004712D1" w:rsidRPr="00576BE6" w:rsidRDefault="00DB0C74" w:rsidP="004712D1">
      <w:pPr>
        <w:pStyle w:val="-"/>
        <w:spacing w:before="108" w:after="108"/>
        <w:ind w:firstLine="520"/>
        <w:rPr>
          <w:rFonts w:ascii="標楷體" w:hAnsi="標楷體"/>
        </w:rPr>
      </w:pPr>
      <w:r w:rsidRPr="00576BE6">
        <w:rPr>
          <w:rFonts w:ascii="標楷體" w:hAnsi="標楷體" w:hint="eastAsia"/>
        </w:rPr>
        <w:lastRenderedPageBreak/>
        <w:t>在三中全會改革方案的方向藍圖中，如何評估其對我國經濟之影響，成為我國未來中長期對外經貿關係中的重要問題。然而，這份改革文件的內容多半屬於方向性與指導性的文字，具體措施與細節還有待後續明朗，「中共中央全面深化改革領導小組」的成立與</w:t>
      </w:r>
      <w:r w:rsidRPr="00576BE6">
        <w:rPr>
          <w:rFonts w:ascii="標楷體" w:hAnsi="標楷體"/>
        </w:rPr>
        <w:t>2020</w:t>
      </w:r>
      <w:r w:rsidRPr="00576BE6">
        <w:rPr>
          <w:rFonts w:ascii="標楷體" w:hAnsi="標楷體" w:hint="eastAsia"/>
        </w:rPr>
        <w:t>年目標的明確化，更是說明瞭未來幾年中國大陸的改革將會是動態式的，我們必須持續追蹤，才能更</w:t>
      </w:r>
      <w:r>
        <w:rPr>
          <w:rFonts w:ascii="標楷體" w:hAnsi="標楷體" w:hint="eastAsia"/>
        </w:rPr>
        <w:t>好</w:t>
      </w:r>
      <w:r w:rsidRPr="00576BE6">
        <w:rPr>
          <w:rFonts w:ascii="標楷體" w:hAnsi="標楷體" w:hint="eastAsia"/>
        </w:rPr>
        <w:t>地掌握改革的動向與內涵。基本上，三中改革內容主要在於調整政府與市場之間的關係、營造更能讓市場經濟深化發揮的環境。因此，有許多措施方向對我國經濟影響實較為間接，若要找出三中改革對於我影響較大的面向，必須配合其經濟與產業面的變化趨勢來進行探討。</w:t>
      </w:r>
    </w:p>
    <w:p w:rsidR="004712D1" w:rsidRPr="003243E6" w:rsidRDefault="00DB0C74" w:rsidP="004712D1">
      <w:pPr>
        <w:pStyle w:val="-"/>
        <w:spacing w:before="108" w:after="108"/>
        <w:ind w:firstLine="520"/>
        <w:rPr>
          <w:rFonts w:ascii="標楷體" w:hAnsi="標楷體"/>
        </w:rPr>
      </w:pPr>
      <w:r w:rsidRPr="00576BE6">
        <w:rPr>
          <w:rFonts w:ascii="標楷體" w:hAnsi="標楷體" w:hint="eastAsia"/>
        </w:rPr>
        <w:t>因此，本研究規劃之內容除了持續滾動式地追蹤、觀察習李新政改革的新動向並就重要議題提供初步分析之外，另外</w:t>
      </w:r>
      <w:r>
        <w:rPr>
          <w:rFonts w:ascii="標楷體" w:hAnsi="標楷體" w:hint="eastAsia"/>
        </w:rPr>
        <w:t>亦由十八屆</w:t>
      </w:r>
      <w:r w:rsidRPr="00576BE6">
        <w:rPr>
          <w:rFonts w:ascii="標楷體" w:hAnsi="標楷體" w:hint="eastAsia"/>
        </w:rPr>
        <w:t>三中改革文件</w:t>
      </w:r>
      <w:r>
        <w:rPr>
          <w:rFonts w:ascii="標楷體" w:hAnsi="標楷體" w:hint="eastAsia"/>
        </w:rPr>
        <w:t>的</w:t>
      </w:r>
      <w:r w:rsidRPr="00576BE6">
        <w:rPr>
          <w:rFonts w:ascii="標楷體" w:hAnsi="標楷體" w:hint="eastAsia"/>
        </w:rPr>
        <w:t>重</w:t>
      </w:r>
      <w:r>
        <w:rPr>
          <w:rFonts w:ascii="標楷體" w:hAnsi="標楷體" w:hint="eastAsia"/>
        </w:rPr>
        <w:t>點</w:t>
      </w:r>
      <w:r w:rsidRPr="00576BE6">
        <w:rPr>
          <w:rFonts w:ascii="標楷體" w:hAnsi="標楷體" w:hint="eastAsia"/>
        </w:rPr>
        <w:t>內容</w:t>
      </w:r>
      <w:r>
        <w:rPr>
          <w:rFonts w:ascii="標楷體" w:hAnsi="標楷體" w:hint="eastAsia"/>
        </w:rPr>
        <w:t>當中，選擇、延伸出可能</w:t>
      </w:r>
      <w:r w:rsidRPr="00576BE6">
        <w:rPr>
          <w:rFonts w:ascii="標楷體" w:hAnsi="標楷體" w:hint="eastAsia"/>
        </w:rPr>
        <w:t>與我</w:t>
      </w:r>
      <w:r>
        <w:rPr>
          <w:rFonts w:ascii="標楷體" w:hAnsi="標楷體" w:hint="eastAsia"/>
        </w:rPr>
        <w:t>國經濟與產業發展</w:t>
      </w:r>
      <w:r w:rsidRPr="00576BE6">
        <w:rPr>
          <w:rFonts w:ascii="標楷體" w:hAnsi="標楷體" w:hint="eastAsia"/>
        </w:rPr>
        <w:t>較</w:t>
      </w:r>
      <w:r>
        <w:rPr>
          <w:rFonts w:ascii="標楷體" w:hAnsi="標楷體" w:hint="eastAsia"/>
        </w:rPr>
        <w:t>為</w:t>
      </w:r>
      <w:r w:rsidRPr="00576BE6">
        <w:rPr>
          <w:rFonts w:ascii="標楷體" w:hAnsi="標楷體" w:hint="eastAsia"/>
        </w:rPr>
        <w:t>相關</w:t>
      </w:r>
      <w:r>
        <w:rPr>
          <w:rFonts w:ascii="標楷體" w:hAnsi="標楷體" w:hint="eastAsia"/>
        </w:rPr>
        <w:t>的議題，</w:t>
      </w:r>
      <w:r w:rsidRPr="00576BE6">
        <w:rPr>
          <w:rFonts w:ascii="標楷體" w:hAnsi="標楷體" w:hint="eastAsia"/>
        </w:rPr>
        <w:t>來進行專題性的進階探討，期望對於我國未來經貿產業發展能有較為直接的意涵。</w:t>
      </w:r>
      <w:r>
        <w:rPr>
          <w:rFonts w:ascii="標楷體" w:hAnsi="標楷體" w:hint="eastAsia"/>
        </w:rPr>
        <w:t>因此，本研究擇定中國大陸對外經貿戰略的轉變以及其產業結構與內涵所可能受到改革之影響等兩個面向，擬定三個研究專題，包括「稅制調整下生產性服務業之發展」、「對外開放及區域經貿戰略之調整」以及「自動化趨勢對兩岸製造業競爭之影響」，各專題之間之相關性並非選擇之重點，但其各自之研究結論將結合對於習李新政重要議題之分析，將於最末章提出較完整全面之政策建議。</w:t>
      </w:r>
    </w:p>
    <w:p w:rsidR="00AF48ED" w:rsidRPr="00AF48ED" w:rsidRDefault="00DB0C74" w:rsidP="00AF48ED">
      <w:pPr>
        <w:pStyle w:val="-"/>
        <w:spacing w:before="108" w:after="108"/>
        <w:ind w:firstLine="520"/>
        <w:sectPr w:rsidR="00AF48ED" w:rsidRPr="00AF48ED" w:rsidSect="001169D5">
          <w:type w:val="oddPage"/>
          <w:pgSz w:w="11906" w:h="16838"/>
          <w:pgMar w:top="1418" w:right="1418" w:bottom="1418" w:left="1418" w:header="851" w:footer="992" w:gutter="0"/>
          <w:cols w:space="425"/>
          <w:docGrid w:type="lines" w:linePitch="360"/>
        </w:sectPr>
      </w:pPr>
      <w:r w:rsidRPr="00576BE6">
        <w:rPr>
          <w:rFonts w:ascii="標楷體" w:hAnsi="標楷體" w:hint="eastAsia"/>
        </w:rPr>
        <w:t>總結言之，本研究目標在於根據中國大陸經濟與產業趨勢的最新發展，以及中共十八大換屆新一代領導執政為背景，分為兩部分四個章節進行分析：第一部分為重點式探討中國大陸習李新政改革的最新政策動向。第二部分為三個章節，首先探討在營業稅改增值稅（營改增）的稅制調整下，其對大陸服務業與製造業分工、融合與發展之影響，尤其聚焦於生產性服務業上，並探討我臺商的發展機會；其次，將分析習李上臺後中國大陸整體區域經貿戰略的變化與可能意涵，由三中全會所提之「構建開放型經濟新體制」延伸至區域經貿體系之戰略變化，並藉</w:t>
      </w:r>
      <w:r w:rsidR="0059025F">
        <w:rPr>
          <w:rFonts w:ascii="標楷體" w:hAnsi="標楷體" w:hint="eastAsia"/>
        </w:rPr>
        <w:t>絲綢之路戰略、</w:t>
      </w:r>
      <w:r w:rsidRPr="00576BE6">
        <w:rPr>
          <w:rFonts w:ascii="標楷體" w:hAnsi="標楷體" w:hint="eastAsia"/>
        </w:rPr>
        <w:t>區域經濟整合、自由貿易區發展等子議題進行探討；最後，將</w:t>
      </w:r>
      <w:r w:rsidRPr="00576BE6">
        <w:rPr>
          <w:rFonts w:ascii="標楷體" w:hAnsi="標楷體" w:hint="eastAsia"/>
        </w:rPr>
        <w:lastRenderedPageBreak/>
        <w:t>分析未來自動化趨勢對兩岸製造業競爭的影響，也就是探討在全球與中國大陸製造業變化趨勢下，兩岸製造業競爭可能向上延伸到自動化領域以及其對我未來自動化產業發展之意涵。而在每一項專題當中都會對我國經濟、產業與經貿發展的可能影響進行判斷，從機會與挑戰角度來提出相關建言。</w:t>
      </w:r>
    </w:p>
    <w:p w:rsidR="00A7436E" w:rsidRPr="009F2A4B" w:rsidRDefault="00A7436E" w:rsidP="00A7436E">
      <w:pPr>
        <w:pStyle w:val="2"/>
        <w:spacing w:before="108" w:after="108"/>
      </w:pPr>
      <w:bookmarkStart w:id="9" w:name="_Toc389203185"/>
      <w:bookmarkStart w:id="10" w:name="_Toc405462580"/>
      <w:r w:rsidRPr="009F2A4B">
        <w:lastRenderedPageBreak/>
        <w:t xml:space="preserve">第二節　</w:t>
      </w:r>
      <w:r w:rsidR="00AF48ED" w:rsidRPr="00AF48ED">
        <w:rPr>
          <w:rFonts w:hint="eastAsia"/>
        </w:rPr>
        <w:t>研究架構與方法</w:t>
      </w:r>
      <w:bookmarkEnd w:id="9"/>
      <w:bookmarkEnd w:id="10"/>
    </w:p>
    <w:p w:rsidR="00AF48ED" w:rsidRPr="00AF48ED" w:rsidRDefault="00DB0C74" w:rsidP="00225BC1">
      <w:pPr>
        <w:pStyle w:val="3"/>
        <w:spacing w:before="72" w:after="72"/>
        <w:rPr>
          <w:rFonts w:ascii="Times New Roman" w:hAnsi="Times New Roman"/>
        </w:rPr>
      </w:pPr>
      <w:r>
        <w:rPr>
          <w:rFonts w:ascii="Times New Roman" w:hAnsi="Times New Roman" w:hint="eastAsia"/>
        </w:rPr>
        <w:t>壹</w:t>
      </w:r>
      <w:r w:rsidRPr="00AF48ED">
        <w:rPr>
          <w:rFonts w:ascii="Times New Roman" w:hAnsi="Times New Roman" w:hint="eastAsia"/>
        </w:rPr>
        <w:t>、研究架構</w:t>
      </w:r>
    </w:p>
    <w:p w:rsidR="00F94728" w:rsidRDefault="00DB0C74" w:rsidP="00F94728">
      <w:pPr>
        <w:pStyle w:val="-"/>
        <w:spacing w:before="108" w:after="108"/>
        <w:ind w:firstLine="520"/>
        <w:rPr>
          <w:rFonts w:ascii="標楷體" w:hAnsi="標楷體"/>
        </w:rPr>
      </w:pPr>
      <w:r w:rsidRPr="00AF48ED">
        <w:rPr>
          <w:rFonts w:hint="eastAsia"/>
        </w:rPr>
        <w:t>本研究將就中國大陸當前以及未來可能採行之經濟政策與改革內容，尤其是關於十八屆三中全會</w:t>
      </w:r>
      <w:r w:rsidR="007B11B8">
        <w:rPr>
          <w:rFonts w:hint="eastAsia"/>
        </w:rPr>
        <w:t>公布</w:t>
      </w:r>
      <w:r w:rsidRPr="00AF48ED">
        <w:rPr>
          <w:rFonts w:hint="eastAsia"/>
        </w:rPr>
        <w:t>的新一波改革方向所揭示之方針，配合中國大陸自身經濟與產業發展的趨勢發展，針對其中對我國經濟可能影</w:t>
      </w:r>
      <w:r w:rsidRPr="00576BE6">
        <w:rPr>
          <w:rFonts w:ascii="標楷體" w:hAnsi="標楷體" w:hint="eastAsia"/>
        </w:rPr>
        <w:t>響較大者來進行追蹤檢視，並從而探討伴隨而來之機會與挑戰。具體研究架構如圖</w:t>
      </w:r>
      <w:r w:rsidRPr="00576BE6">
        <w:rPr>
          <w:rFonts w:ascii="標楷體" w:hAnsi="標楷體"/>
        </w:rPr>
        <w:t>1-1</w:t>
      </w:r>
      <w:r w:rsidRPr="00576BE6">
        <w:rPr>
          <w:rFonts w:ascii="標楷體" w:hAnsi="標楷體" w:hint="eastAsia"/>
        </w:rPr>
        <w:t>。</w:t>
      </w:r>
    </w:p>
    <w:p w:rsidR="005C4250" w:rsidRDefault="005C4250" w:rsidP="00F94728">
      <w:pPr>
        <w:pStyle w:val="-"/>
        <w:spacing w:before="108" w:after="108"/>
        <w:ind w:firstLine="520"/>
        <w:rPr>
          <w:rFonts w:ascii="標楷體" w:hAnsi="標楷體"/>
        </w:rPr>
      </w:pPr>
    </w:p>
    <w:p w:rsidR="00D627CF" w:rsidRPr="005C4250" w:rsidRDefault="00796180" w:rsidP="005C4250">
      <w:pPr>
        <w:pStyle w:val="af5"/>
        <w:adjustRightInd w:val="0"/>
        <w:snapToGrid w:val="0"/>
        <w:spacing w:before="72" w:after="72" w:line="240" w:lineRule="auto"/>
        <w:ind w:leftChars="-50" w:left="-120"/>
      </w:pPr>
      <w:r>
        <w:rPr>
          <w:noProof/>
        </w:rPr>
        <mc:AlternateContent>
          <mc:Choice Requires="wps">
            <w:drawing>
              <wp:anchor distT="4294967295" distB="4294967295" distL="114300" distR="114300" simplePos="0" relativeHeight="13" behindDoc="0" locked="0" layoutInCell="1" allowOverlap="1">
                <wp:simplePos x="0" y="0"/>
                <wp:positionH relativeFrom="column">
                  <wp:posOffset>1331595</wp:posOffset>
                </wp:positionH>
                <wp:positionV relativeFrom="paragraph">
                  <wp:posOffset>1879599</wp:posOffset>
                </wp:positionV>
                <wp:extent cx="3260090" cy="0"/>
                <wp:effectExtent l="0" t="0" r="16510" b="19050"/>
                <wp:wrapNone/>
                <wp:docPr id="55" name="直線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009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直線接點 55" o:spid="_x0000_s1026" style="position:absolute;z-index: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4.85pt,148pt" to="361.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" strokecolor="windowText" strokeweight="1.5pt">
                <o:lock v:ext="edit" shapetype="f"/>
              </v:line>
            </w:pict>
          </mc:Fallback>
        </mc:AlternateContent>
      </w:r>
      <w:r>
        <w:rPr>
          <w:noProof/>
        </w:rPr>
        <mc:AlternateContent>
          <mc:Choice Requires="wps">
            <w:drawing>
              <wp:anchor distT="0" distB="0" distL="114300" distR="114300" simplePos="0" relativeHeight="11" behindDoc="0" locked="0" layoutInCell="1" allowOverlap="1">
                <wp:simplePos x="0" y="0"/>
                <wp:positionH relativeFrom="column">
                  <wp:posOffset>792480</wp:posOffset>
                </wp:positionH>
                <wp:positionV relativeFrom="paragraph">
                  <wp:posOffset>1255395</wp:posOffset>
                </wp:positionV>
                <wp:extent cx="4359275" cy="450850"/>
                <wp:effectExtent l="0" t="0" r="22225" b="25400"/>
                <wp:wrapNone/>
                <wp:docPr id="53" name="圓角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9275" cy="450850"/>
                        </a:xfrm>
                        <a:prstGeom prst="roundRect">
                          <a:avLst/>
                        </a:prstGeom>
                        <a:solidFill>
                          <a:sysClr val="window" lastClr="FFFFFF">
                            <a:lumMod val="85000"/>
                          </a:sysClr>
                        </a:solidFill>
                        <a:ln w="19050" cap="flat" cmpd="sng" algn="ctr">
                          <a:solidFill>
                            <a:sysClr val="windowText" lastClr="000000"/>
                          </a:solidFill>
                          <a:prstDash val="solid"/>
                        </a:ln>
                        <a:effectLst/>
                      </wps:spPr>
                      <wps:txbx>
                        <w:txbxContent>
                          <w:p w:rsidR="005C4250" w:rsidRPr="005F2589" w:rsidRDefault="005C4250" w:rsidP="005C4250">
                            <w:pPr>
                              <w:spacing w:before="40"/>
                              <w:jc w:val="center"/>
                              <w:rPr>
                                <w:rFonts w:eastAsia="標楷體"/>
                                <w:color w:val="000000"/>
                              </w:rPr>
                            </w:pPr>
                            <w:r w:rsidRPr="005F2589">
                              <w:rPr>
                                <w:rFonts w:eastAsia="標楷體" w:hAnsi="標楷體" w:hint="eastAsia"/>
                                <w:color w:val="000000"/>
                              </w:rPr>
                              <w:t>滾動式分析：習李新政重大改革動向觀察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53" o:spid="_x0000_s1026" style="position:absolute;left:0;text-align:left;margin-left:62.4pt;margin-top:98.85pt;width:343.25pt;height:35.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" fillcolor="#d9d9d9" strokecolor="windowText" strokeweight="1.5pt">
                <v:path arrowok="t"/>
                <v:textbox>
                  <w:txbxContent>
                    <w:p w:rsidR="005C4250" w:rsidRPr="005F2589" w:rsidRDefault="005C4250" w:rsidP="005C4250">
                      <w:pPr>
                        <w:spacing w:before="40"/>
                        <w:jc w:val="center"/>
                        <w:rPr>
                          <w:rFonts w:eastAsia="標楷體"/>
                          <w:color w:val="000000"/>
                        </w:rPr>
                      </w:pPr>
                      <w:r w:rsidRPr="005F2589">
                        <w:rPr>
                          <w:rFonts w:eastAsia="標楷體" w:hAnsi="標楷體" w:hint="eastAsia"/>
                          <w:color w:val="000000"/>
                        </w:rPr>
                        <w:t>滾動式分析：習李新政重大改革動向觀察</w:t>
                      </w:r>
                    </w:p>
                  </w:txbxContent>
                </v:textbox>
              </v:roundrect>
            </w:pict>
          </mc:Fallback>
        </mc:AlternateContent>
      </w:r>
      <w:r>
        <w:rPr>
          <w:noProof/>
        </w:rPr>
        <mc:AlternateContent>
          <mc:Choice Requires="wps">
            <w:drawing>
              <wp:anchor distT="0" distB="0" distL="114299" distR="114299" simplePos="0" relativeHeight="15" behindDoc="0" locked="0" layoutInCell="1" allowOverlap="1">
                <wp:simplePos x="0" y="0"/>
                <wp:positionH relativeFrom="column">
                  <wp:posOffset>2994659</wp:posOffset>
                </wp:positionH>
                <wp:positionV relativeFrom="paragraph">
                  <wp:posOffset>3458845</wp:posOffset>
                </wp:positionV>
                <wp:extent cx="0" cy="225425"/>
                <wp:effectExtent l="0" t="0" r="19050" b="22225"/>
                <wp:wrapNone/>
                <wp:docPr id="57" name="直線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42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57" o:spid="_x0000_s1026" style="position:absolute;z-index:1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5.8pt,272.35pt" to="235.8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" strokecolor="windowText" strokeweight="1.5pt">
                <o:lock v:ext="edit" shapetype="f"/>
              </v:line>
            </w:pict>
          </mc:Fallback>
        </mc:AlternateContent>
      </w:r>
      <w:r>
        <w:rPr>
          <w:noProof/>
        </w:rPr>
        <mc:AlternateContent>
          <mc:Choice Requires="wps">
            <w:drawing>
              <wp:anchor distT="0" distB="0" distL="114299" distR="114299" simplePos="0" relativeHeight="12" behindDoc="0" locked="0" layoutInCell="1" allowOverlap="1">
                <wp:simplePos x="0" y="0"/>
                <wp:positionH relativeFrom="column">
                  <wp:posOffset>1112519</wp:posOffset>
                </wp:positionH>
                <wp:positionV relativeFrom="paragraph">
                  <wp:posOffset>3453130</wp:posOffset>
                </wp:positionV>
                <wp:extent cx="0" cy="122555"/>
                <wp:effectExtent l="0" t="0" r="19050" b="10795"/>
                <wp:wrapNone/>
                <wp:docPr id="54" name="直線接點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255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54" o:spid="_x0000_s1026" style="position:absolute;z-index: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7.6pt,271.9pt" to="87.6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" strokecolor="windowText" strokeweight="1.5pt">
                <o:lock v:ext="edit" shapetype="f"/>
              </v:line>
            </w:pict>
          </mc:Fallback>
        </mc:AlternateContent>
      </w:r>
      <w:r>
        <w:rPr>
          <w:noProof/>
        </w:rPr>
        <mc:AlternateContent>
          <mc:Choice Requires="wps">
            <w:drawing>
              <wp:anchor distT="0" distB="0" distL="114300" distR="114300" simplePos="0" relativeHeight="14" behindDoc="0" locked="0" layoutInCell="1" allowOverlap="1">
                <wp:simplePos x="0" y="0"/>
                <wp:positionH relativeFrom="column">
                  <wp:posOffset>2981960</wp:posOffset>
                </wp:positionH>
                <wp:positionV relativeFrom="paragraph">
                  <wp:posOffset>2808605</wp:posOffset>
                </wp:positionV>
                <wp:extent cx="3175" cy="273050"/>
                <wp:effectExtent l="0" t="0" r="34925" b="12700"/>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273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直線接點 56" o:spid="_x0000_s1026" style="position:absolute;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4.8pt,221.15pt" to="235.05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" strokecolor="windowText" strokeweight="1.5pt">
                <o:lock v:ext="edit" shapetype="f"/>
              </v:line>
            </w:pict>
          </mc:Fallback>
        </mc:AlternateContent>
      </w:r>
      <w:r>
        <w:rPr>
          <w:noProof/>
        </w:rPr>
        <mc:AlternateContent>
          <mc:Choice Requires="wpg">
            <w:drawing>
              <wp:inline distT="0" distB="0" distL="0" distR="0">
                <wp:extent cx="5491480" cy="4143375"/>
                <wp:effectExtent l="9525" t="9525" r="13970" b="9525"/>
                <wp:docPr id="516" name="群組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1480" cy="4143375"/>
                          <a:chOff x="0" y="0"/>
                          <a:chExt cx="54913" cy="39597"/>
                        </a:xfrm>
                      </wpg:grpSpPr>
                      <wpg:grpSp>
                        <wpg:cNvPr id="517" name="群組 1"/>
                        <wpg:cNvGrpSpPr>
                          <a:grpSpLocks/>
                        </wpg:cNvGrpSpPr>
                        <wpg:grpSpPr bwMode="auto">
                          <a:xfrm>
                            <a:off x="0" y="0"/>
                            <a:ext cx="54913" cy="39597"/>
                            <a:chOff x="0" y="0"/>
                            <a:chExt cx="54913" cy="39597"/>
                          </a:xfrm>
                        </wpg:grpSpPr>
                        <wpg:grpSp>
                          <wpg:cNvPr id="518" name="群組 52"/>
                          <wpg:cNvGrpSpPr>
                            <a:grpSpLocks/>
                          </wpg:cNvGrpSpPr>
                          <wpg:grpSpPr bwMode="auto">
                            <a:xfrm>
                              <a:off x="0" y="0"/>
                              <a:ext cx="54913" cy="39597"/>
                              <a:chOff x="1809" y="4334"/>
                              <a:chExt cx="54913" cy="39604"/>
                            </a:xfrm>
                          </wpg:grpSpPr>
                          <wpg:grpSp>
                            <wpg:cNvPr id="519" name="群組 48"/>
                            <wpg:cNvGrpSpPr>
                              <a:grpSpLocks/>
                            </wpg:cNvGrpSpPr>
                            <wpg:grpSpPr bwMode="auto">
                              <a:xfrm>
                                <a:off x="1809" y="4334"/>
                                <a:ext cx="5493" cy="39605"/>
                                <a:chOff x="1809" y="4334"/>
                                <a:chExt cx="5492" cy="39604"/>
                              </a:xfrm>
                            </wpg:grpSpPr>
                            <wps:wsp>
                              <wps:cNvPr id="520" name="圓角矩形 15"/>
                              <wps:cNvSpPr>
                                <a:spLocks noChangeArrowheads="1"/>
                              </wps:cNvSpPr>
                              <wps:spPr bwMode="auto">
                                <a:xfrm>
                                  <a:off x="1809" y="4334"/>
                                  <a:ext cx="5398" cy="10800"/>
                                </a:xfrm>
                                <a:prstGeom prst="roundRect">
                                  <a:avLst>
                                    <a:gd name="adj" fmla="val 16667"/>
                                  </a:avLst>
                                </a:prstGeom>
                                <a:solidFill>
                                  <a:srgbClr val="8EB4E3"/>
                                </a:solidFill>
                                <a:ln w="19050">
                                  <a:solidFill>
                                    <a:srgbClr val="376092"/>
                                  </a:solidFill>
                                  <a:round/>
                                  <a:headEnd/>
                                  <a:tailEnd/>
                                </a:ln>
                              </wps:spPr>
                              <wps:txbx>
                                <w:txbxContent>
                                  <w:p w:rsidR="005C4250" w:rsidRPr="005F2589" w:rsidRDefault="005C4250" w:rsidP="005C4250">
                                    <w:pPr>
                                      <w:spacing w:before="40"/>
                                      <w:jc w:val="center"/>
                                      <w:rPr>
                                        <w:rFonts w:eastAsia="標楷體"/>
                                        <w:b/>
                                        <w:color w:val="000000"/>
                                      </w:rPr>
                                    </w:pPr>
                                    <w:r w:rsidRPr="005F2589">
                                      <w:rPr>
                                        <w:rFonts w:eastAsia="標楷體" w:hAnsi="標楷體"/>
                                        <w:b/>
                                        <w:color w:val="000000"/>
                                      </w:rPr>
                                      <w:t>趨勢背景</w:t>
                                    </w:r>
                                  </w:p>
                                </w:txbxContent>
                              </wps:txbx>
                              <wps:bodyPr rot="0" vert="eaVert" wrap="square" lIns="91440" tIns="45720" rIns="91440" bIns="45720" anchor="ctr" anchorCtr="0" upright="1">
                                <a:noAutofit/>
                              </wps:bodyPr>
                            </wps:wsp>
                            <wps:wsp>
                              <wps:cNvPr id="521" name="圓角矩形 16"/>
                              <wps:cNvSpPr>
                                <a:spLocks noChangeArrowheads="1"/>
                              </wps:cNvSpPr>
                              <wps:spPr bwMode="auto">
                                <a:xfrm>
                                  <a:off x="1809" y="16286"/>
                                  <a:ext cx="5398" cy="14851"/>
                                </a:xfrm>
                                <a:prstGeom prst="roundRect">
                                  <a:avLst>
                                    <a:gd name="adj" fmla="val 16667"/>
                                  </a:avLst>
                                </a:prstGeom>
                                <a:solidFill>
                                  <a:srgbClr val="8EB4E3"/>
                                </a:solidFill>
                                <a:ln w="19050">
                                  <a:solidFill>
                                    <a:srgbClr val="376092"/>
                                  </a:solidFill>
                                  <a:round/>
                                  <a:headEnd/>
                                  <a:tailEnd/>
                                </a:ln>
                              </wps:spPr>
                              <wps:txbx>
                                <w:txbxContent>
                                  <w:p w:rsidR="005C4250" w:rsidRPr="005F2589" w:rsidRDefault="005C4250" w:rsidP="005C4250">
                                    <w:pPr>
                                      <w:spacing w:before="40"/>
                                      <w:jc w:val="center"/>
                                      <w:rPr>
                                        <w:rFonts w:eastAsia="標楷體"/>
                                        <w:b/>
                                        <w:color w:val="000000"/>
                                      </w:rPr>
                                    </w:pPr>
                                    <w:r w:rsidRPr="005F2589">
                                      <w:rPr>
                                        <w:rFonts w:eastAsia="標楷體" w:hAnsi="標楷體"/>
                                        <w:b/>
                                        <w:color w:val="000000"/>
                                      </w:rPr>
                                      <w:t>議題研究</w:t>
                                    </w:r>
                                  </w:p>
                                </w:txbxContent>
                              </wps:txbx>
                              <wps:bodyPr rot="0" vert="eaVert" wrap="square" lIns="91440" tIns="45720" rIns="91440" bIns="45720" anchor="ctr" anchorCtr="0" upright="1">
                                <a:noAutofit/>
                              </wps:bodyPr>
                            </wps:wsp>
                            <wps:wsp>
                              <wps:cNvPr id="522" name="圓角矩形 17"/>
                              <wps:cNvSpPr>
                                <a:spLocks noChangeArrowheads="1"/>
                              </wps:cNvSpPr>
                              <wps:spPr bwMode="auto">
                                <a:xfrm>
                                  <a:off x="1904" y="32403"/>
                                  <a:ext cx="5398" cy="11536"/>
                                </a:xfrm>
                                <a:prstGeom prst="roundRect">
                                  <a:avLst>
                                    <a:gd name="adj" fmla="val 16667"/>
                                  </a:avLst>
                                </a:prstGeom>
                                <a:solidFill>
                                  <a:srgbClr val="8EB4E3"/>
                                </a:solidFill>
                                <a:ln w="19050">
                                  <a:solidFill>
                                    <a:srgbClr val="376092"/>
                                  </a:solidFill>
                                  <a:round/>
                                  <a:headEnd/>
                                  <a:tailEnd/>
                                </a:ln>
                              </wps:spPr>
                              <wps:txbx>
                                <w:txbxContent>
                                  <w:p w:rsidR="005C4250" w:rsidRPr="005F2589" w:rsidRDefault="005C4250" w:rsidP="005C4250">
                                    <w:pPr>
                                      <w:spacing w:before="40"/>
                                      <w:jc w:val="center"/>
                                      <w:rPr>
                                        <w:rFonts w:eastAsia="標楷體"/>
                                        <w:b/>
                                        <w:color w:val="000000"/>
                                      </w:rPr>
                                    </w:pPr>
                                    <w:r w:rsidRPr="005F2589">
                                      <w:rPr>
                                        <w:rFonts w:eastAsia="標楷體" w:hAnsi="標楷體"/>
                                        <w:b/>
                                        <w:color w:val="000000"/>
                                      </w:rPr>
                                      <w:t>政策建議</w:t>
                                    </w:r>
                                  </w:p>
                                </w:txbxContent>
                              </wps:txbx>
                              <wps:bodyPr rot="0" vert="eaVert" wrap="square" lIns="91440" tIns="45720" rIns="91440" bIns="45720" anchor="ctr" anchorCtr="0" upright="1">
                                <a:noAutofit/>
                              </wps:bodyPr>
                            </wps:wsp>
                          </wpg:grpSp>
                          <wpg:grpSp>
                            <wpg:cNvPr id="523" name="群組 50"/>
                            <wpg:cNvGrpSpPr>
                              <a:grpSpLocks/>
                            </wpg:cNvGrpSpPr>
                            <wpg:grpSpPr bwMode="auto">
                              <a:xfrm>
                                <a:off x="8572" y="5956"/>
                                <a:ext cx="48151" cy="37065"/>
                                <a:chOff x="1523" y="3860"/>
                                <a:chExt cx="48150" cy="37065"/>
                              </a:xfrm>
                            </wpg:grpSpPr>
                            <wpg:grpSp>
                              <wpg:cNvPr id="524" name="群組 46"/>
                              <wpg:cNvGrpSpPr>
                                <a:grpSpLocks/>
                              </wpg:cNvGrpSpPr>
                              <wpg:grpSpPr bwMode="auto">
                                <a:xfrm>
                                  <a:off x="1569" y="3860"/>
                                  <a:ext cx="48105" cy="25292"/>
                                  <a:chOff x="1569" y="3860"/>
                                  <a:chExt cx="48104" cy="25291"/>
                                </a:xfrm>
                              </wpg:grpSpPr>
                              <wpg:grpSp>
                                <wpg:cNvPr id="526" name="群組 30"/>
                                <wpg:cNvGrpSpPr>
                                  <a:grpSpLocks/>
                                </wpg:cNvGrpSpPr>
                                <wpg:grpSpPr bwMode="auto">
                                  <a:xfrm>
                                    <a:off x="9429" y="3860"/>
                                    <a:ext cx="31503" cy="5856"/>
                                    <a:chOff x="476" y="3860"/>
                                    <a:chExt cx="31502" cy="5855"/>
                                  </a:xfrm>
                                </wpg:grpSpPr>
                                <wps:wsp>
                                  <wps:cNvPr id="527" name="圓角矩形 3"/>
                                  <wps:cNvSpPr>
                                    <a:spLocks noChangeArrowheads="1"/>
                                  </wps:cNvSpPr>
                                  <wps:spPr bwMode="auto">
                                    <a:xfrm>
                                      <a:off x="476" y="3860"/>
                                      <a:ext cx="15119" cy="576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中國大陸經濟</w:t>
                                        </w:r>
                                        <w:r w:rsidRPr="005F2589">
                                          <w:rPr>
                                            <w:rFonts w:eastAsia="標楷體"/>
                                            <w:color w:val="000000"/>
                                          </w:rPr>
                                          <w:br/>
                                        </w:r>
                                        <w:r w:rsidRPr="005F2589">
                                          <w:rPr>
                                            <w:rFonts w:eastAsia="標楷體" w:hAnsi="標楷體"/>
                                            <w:color w:val="000000"/>
                                          </w:rPr>
                                          <w:t>與產業發展趨勢</w:t>
                                        </w:r>
                                      </w:p>
                                    </w:txbxContent>
                                  </wps:txbx>
                                  <wps:bodyPr rot="0" vert="horz" wrap="square" lIns="91440" tIns="45720" rIns="91440" bIns="45720" anchor="ctr" anchorCtr="0" upright="1">
                                    <a:noAutofit/>
                                  </wps:bodyPr>
                                </wps:wsp>
                                <wps:wsp>
                                  <wps:cNvPr id="528" name="圓角矩形 4"/>
                                  <wps:cNvSpPr>
                                    <a:spLocks noChangeArrowheads="1"/>
                                  </wps:cNvSpPr>
                                  <wps:spPr bwMode="auto">
                                    <a:xfrm>
                                      <a:off x="16859" y="3956"/>
                                      <a:ext cx="15119" cy="576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C4250" w:rsidRPr="005F2589" w:rsidRDefault="005C4250" w:rsidP="005C4250">
                                        <w:pPr>
                                          <w:spacing w:line="320" w:lineRule="exact"/>
                                          <w:ind w:leftChars="-50" w:left="-120" w:rightChars="-50" w:right="-120"/>
                                          <w:jc w:val="center"/>
                                          <w:rPr>
                                            <w:rFonts w:eastAsia="標楷體"/>
                                            <w:color w:val="000000"/>
                                            <w:spacing w:val="-4"/>
                                          </w:rPr>
                                        </w:pPr>
                                        <w:r w:rsidRPr="005F2589">
                                          <w:rPr>
                                            <w:rFonts w:eastAsia="標楷體" w:hAnsi="標楷體"/>
                                            <w:color w:val="000000"/>
                                            <w:spacing w:val="-4"/>
                                          </w:rPr>
                                          <w:t>中共十八大換屆</w:t>
                                        </w:r>
                                        <w:r w:rsidRPr="005F2589">
                                          <w:rPr>
                                            <w:rFonts w:eastAsia="標楷體"/>
                                            <w:color w:val="000000"/>
                                            <w:spacing w:val="-4"/>
                                          </w:rPr>
                                          <w:br/>
                                        </w:r>
                                        <w:r w:rsidRPr="005F2589">
                                          <w:rPr>
                                            <w:rFonts w:eastAsia="標楷體" w:hAnsi="標楷體"/>
                                            <w:color w:val="000000"/>
                                            <w:spacing w:val="-4"/>
                                          </w:rPr>
                                          <w:t>新一代領導執政</w:t>
                                        </w:r>
                                        <w:r w:rsidRPr="005F2589">
                                          <w:rPr>
                                            <w:rFonts w:eastAsia="標楷體"/>
                                            <w:color w:val="000000"/>
                                            <w:spacing w:val="-4"/>
                                          </w:rPr>
                                          <w:br/>
                                        </w:r>
                                      </w:p>
                                    </w:txbxContent>
                                  </wps:txbx>
                                  <wps:bodyPr rot="0" vert="horz" wrap="square" lIns="91440" tIns="45720" rIns="91440" bIns="45720" anchor="ctr" anchorCtr="0" upright="1">
                                    <a:noAutofit/>
                                  </wps:bodyPr>
                                </wps:wsp>
                              </wpg:grpSp>
                              <wpg:grpSp>
                                <wpg:cNvPr id="529" name="群組 32"/>
                                <wpg:cNvGrpSpPr>
                                  <a:grpSpLocks/>
                                </wpg:cNvGrpSpPr>
                                <wpg:grpSpPr bwMode="auto">
                                  <a:xfrm>
                                    <a:off x="1569" y="21580"/>
                                    <a:ext cx="48105" cy="7572"/>
                                    <a:chOff x="1569" y="-231"/>
                                    <a:chExt cx="48104" cy="7571"/>
                                  </a:xfrm>
                                </wpg:grpSpPr>
                                <wps:wsp>
                                  <wps:cNvPr id="530" name="圓角矩形 8"/>
                                  <wps:cNvSpPr>
                                    <a:spLocks noChangeArrowheads="1"/>
                                  </wps:cNvSpPr>
                                  <wps:spPr bwMode="auto">
                                    <a:xfrm>
                                      <a:off x="1569" y="-131"/>
                                      <a:ext cx="15480" cy="7461"/>
                                    </a:xfrm>
                                    <a:prstGeom prst="roundRect">
                                      <a:avLst>
                                        <a:gd name="adj" fmla="val 16667"/>
                                      </a:avLst>
                                    </a:prstGeom>
                                    <a:solidFill>
                                      <a:srgbClr val="D9D9D9"/>
                                    </a:solidFill>
                                    <a:ln w="19050">
                                      <a:solidFill>
                                        <a:srgbClr val="000000"/>
                                      </a:solidFill>
                                      <a:round/>
                                      <a:headEnd/>
                                      <a:tailEnd/>
                                    </a:ln>
                                  </wps:spPr>
                                  <wps:txb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稅制調整下生產性服務業之發展</w:t>
                                        </w:r>
                                      </w:p>
                                    </w:txbxContent>
                                  </wps:txbx>
                                  <wps:bodyPr rot="0" vert="horz" wrap="square" lIns="91440" tIns="45720" rIns="91440" bIns="45720" anchor="ctr" anchorCtr="0" upright="1">
                                    <a:noAutofit/>
                                  </wps:bodyPr>
                                </wps:wsp>
                                <wps:wsp>
                                  <wps:cNvPr id="531" name="圓角矩形 9"/>
                                  <wps:cNvSpPr>
                                    <a:spLocks noChangeArrowheads="1"/>
                                  </wps:cNvSpPr>
                                  <wps:spPr bwMode="auto">
                                    <a:xfrm>
                                      <a:off x="17907" y="-131"/>
                                      <a:ext cx="15480" cy="7470"/>
                                    </a:xfrm>
                                    <a:prstGeom prst="roundRect">
                                      <a:avLst>
                                        <a:gd name="adj" fmla="val 16667"/>
                                      </a:avLst>
                                    </a:prstGeom>
                                    <a:solidFill>
                                      <a:srgbClr val="D9D9D9"/>
                                    </a:solidFill>
                                    <a:ln w="19050">
                                      <a:solidFill>
                                        <a:srgbClr val="000000"/>
                                      </a:solidFill>
                                      <a:round/>
                                      <a:headEnd/>
                                      <a:tailEnd/>
                                    </a:ln>
                                  </wps:spPr>
                                  <wps:txb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中國大陸對外開放及區域經貿戰略之調整</w:t>
                                        </w:r>
                                      </w:p>
                                    </w:txbxContent>
                                  </wps:txbx>
                                  <wps:bodyPr rot="0" vert="horz" wrap="square" lIns="91440" tIns="45720" rIns="91440" bIns="45720" anchor="ctr" anchorCtr="0" upright="1">
                                    <a:noAutofit/>
                                  </wps:bodyPr>
                                </wps:wsp>
                                <wps:wsp>
                                  <wps:cNvPr id="532" name="圓角矩形 10"/>
                                  <wps:cNvSpPr>
                                    <a:spLocks noChangeArrowheads="1"/>
                                  </wps:cNvSpPr>
                                  <wps:spPr bwMode="auto">
                                    <a:xfrm>
                                      <a:off x="34194" y="-231"/>
                                      <a:ext cx="15480" cy="7460"/>
                                    </a:xfrm>
                                    <a:prstGeom prst="roundRect">
                                      <a:avLst>
                                        <a:gd name="adj" fmla="val 16667"/>
                                      </a:avLst>
                                    </a:prstGeom>
                                    <a:solidFill>
                                      <a:srgbClr val="D9D9D9"/>
                                    </a:solidFill>
                                    <a:ln w="19050">
                                      <a:solidFill>
                                        <a:srgbClr val="000000"/>
                                      </a:solidFill>
                                      <a:round/>
                                      <a:headEnd/>
                                      <a:tailEnd/>
                                    </a:ln>
                                  </wps:spPr>
                                  <wps:txb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自動化趨勢對兩岸製造業競爭之影響</w:t>
                                        </w:r>
                                        <w:r w:rsidRPr="005F2589">
                                          <w:rPr>
                                            <w:rFonts w:eastAsia="標楷體"/>
                                            <w:color w:val="000000"/>
                                          </w:rPr>
                                          <w:br/>
                                        </w:r>
                                      </w:p>
                                    </w:txbxContent>
                                  </wps:txbx>
                                  <wps:bodyPr rot="0" vert="horz" wrap="square" lIns="91440" tIns="45720" rIns="91440" bIns="45720" anchor="ctr" anchorCtr="0" upright="1">
                                    <a:noAutofit/>
                                  </wps:bodyPr>
                                </wps:wsp>
                              </wpg:grpSp>
                              <wpg:grpSp>
                                <wpg:cNvPr id="534" name="群組 37"/>
                                <wpg:cNvGrpSpPr>
                                  <a:grpSpLocks/>
                                </wpg:cNvGrpSpPr>
                                <wpg:grpSpPr bwMode="auto">
                                  <a:xfrm>
                                    <a:off x="17047" y="9575"/>
                                    <a:ext cx="16572" cy="4615"/>
                                    <a:chOff x="9141" y="4050"/>
                                    <a:chExt cx="16571" cy="4614"/>
                                  </a:xfrm>
                                </wpg:grpSpPr>
                                <wpg:grpSp>
                                  <wpg:cNvPr id="535" name="群組 36"/>
                                  <wpg:cNvGrpSpPr>
                                    <a:grpSpLocks/>
                                  </wpg:cNvGrpSpPr>
                                  <wpg:grpSpPr bwMode="auto">
                                    <a:xfrm>
                                      <a:off x="9141" y="6190"/>
                                      <a:ext cx="16569" cy="2475"/>
                                      <a:chOff x="9141" y="2951"/>
                                      <a:chExt cx="16568" cy="2475"/>
                                    </a:xfrm>
                                  </wpg:grpSpPr>
                                  <wps:wsp>
                                    <wps:cNvPr id="536" name="直線接點 24"/>
                                    <wps:cNvCnPr>
                                      <a:cxnSpLocks noChangeShapeType="1"/>
                                    </wps:cNvCnPr>
                                    <wps:spPr bwMode="auto">
                                      <a:xfrm flipV="1">
                                        <a:off x="9141" y="2951"/>
                                        <a:ext cx="165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7" name="直線接點 27"/>
                                    <wps:cNvCnPr>
                                      <a:cxnSpLocks noChangeShapeType="1"/>
                                    </wps:cNvCnPr>
                                    <wps:spPr bwMode="auto">
                                      <a:xfrm>
                                        <a:off x="17493" y="2952"/>
                                        <a:ext cx="32" cy="2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8" name="群組 35"/>
                                  <wpg:cNvGrpSpPr>
                                    <a:grpSpLocks/>
                                  </wpg:cNvGrpSpPr>
                                  <wpg:grpSpPr bwMode="auto">
                                    <a:xfrm>
                                      <a:off x="9141" y="4050"/>
                                      <a:ext cx="16572" cy="2245"/>
                                      <a:chOff x="474" y="4050"/>
                                      <a:chExt cx="16571" cy="2244"/>
                                    </a:xfrm>
                                  </wpg:grpSpPr>
                                  <wps:wsp>
                                    <wps:cNvPr id="539" name="直線接點 28"/>
                                    <wps:cNvCnPr>
                                      <a:cxnSpLocks noChangeShapeType="1"/>
                                    </wps:cNvCnPr>
                                    <wps:spPr bwMode="auto">
                                      <a:xfrm>
                                        <a:off x="474" y="4050"/>
                                        <a:ext cx="0" cy="2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 name="直線接點 29"/>
                                    <wps:cNvCnPr>
                                      <a:cxnSpLocks noChangeShapeType="1"/>
                                    </wps:cNvCnPr>
                                    <wps:spPr bwMode="auto">
                                      <a:xfrm>
                                        <a:off x="17046" y="4241"/>
                                        <a:ext cx="0" cy="20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41" name="群組 40"/>
                                <wpg:cNvGrpSpPr>
                                  <a:grpSpLocks/>
                                </wpg:cNvGrpSpPr>
                                <wpg:grpSpPr bwMode="auto">
                                  <a:xfrm>
                                    <a:off x="8952" y="17757"/>
                                    <a:ext cx="32681" cy="3953"/>
                                    <a:chOff x="1236" y="-911"/>
                                    <a:chExt cx="32681" cy="3952"/>
                                  </a:xfrm>
                                </wpg:grpSpPr>
                                <wps:wsp>
                                  <wps:cNvPr id="542" name="直線接點 34"/>
                                  <wps:cNvCnPr>
                                    <a:cxnSpLocks noChangeShapeType="1"/>
                                  </wps:cNvCnPr>
                                  <wps:spPr bwMode="auto">
                                    <a:xfrm>
                                      <a:off x="1236" y="1516"/>
                                      <a:ext cx="0" cy="1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 name="直線接點 38"/>
                                  <wps:cNvCnPr>
                                    <a:cxnSpLocks noChangeShapeType="1"/>
                                  </wps:cNvCnPr>
                                  <wps:spPr bwMode="auto">
                                    <a:xfrm>
                                      <a:off x="17803" y="-911"/>
                                      <a:ext cx="0" cy="39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0" name="直線接點 39"/>
                                  <wps:cNvCnPr>
                                    <a:cxnSpLocks noChangeShapeType="1"/>
                                  </wps:cNvCnPr>
                                  <wps:spPr bwMode="auto">
                                    <a:xfrm>
                                      <a:off x="33918" y="1516"/>
                                      <a:ext cx="0" cy="1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1" name="群組 47"/>
                              <wpg:cNvGrpSpPr>
                                <a:grpSpLocks/>
                              </wpg:cNvGrpSpPr>
                              <wpg:grpSpPr bwMode="auto">
                                <a:xfrm>
                                  <a:off x="1523" y="31498"/>
                                  <a:ext cx="47530" cy="9428"/>
                                  <a:chOff x="1523" y="1684"/>
                                  <a:chExt cx="47529" cy="9428"/>
                                </a:xfrm>
                              </wpg:grpSpPr>
                              <wpg:grpSp>
                                <wpg:cNvPr id="325" name="群組 33"/>
                                <wpg:cNvGrpSpPr>
                                  <a:grpSpLocks/>
                                </wpg:cNvGrpSpPr>
                                <wpg:grpSpPr bwMode="auto">
                                  <a:xfrm>
                                    <a:off x="1523" y="1684"/>
                                    <a:ext cx="47530" cy="3701"/>
                                    <a:chOff x="1523" y="1684"/>
                                    <a:chExt cx="47529" cy="3701"/>
                                  </a:xfrm>
                                </wpg:grpSpPr>
                                <wps:wsp>
                                  <wps:cNvPr id="326" name="圓角矩形 11"/>
                                  <wps:cNvSpPr>
                                    <a:spLocks noChangeArrowheads="1"/>
                                  </wps:cNvSpPr>
                                  <wps:spPr bwMode="auto">
                                    <a:xfrm>
                                      <a:off x="1523" y="1737"/>
                                      <a:ext cx="10080" cy="3600"/>
                                    </a:xfrm>
                                    <a:prstGeom prst="roundRect">
                                      <a:avLst>
                                        <a:gd name="adj" fmla="val 16667"/>
                                      </a:avLst>
                                    </a:prstGeom>
                                    <a:solidFill>
                                      <a:srgbClr val="FCD5B5"/>
                                    </a:solidFill>
                                    <a:ln w="19050">
                                      <a:solidFill>
                                        <a:srgbClr val="000000"/>
                                      </a:solidFill>
                                      <a:round/>
                                      <a:headEnd/>
                                      <a:tailEnd/>
                                    </a:ln>
                                  </wps:spPr>
                                  <wps:txb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機會</w:t>
                                        </w:r>
                                      </w:p>
                                    </w:txbxContent>
                                  </wps:txbx>
                                  <wps:bodyPr rot="0" vert="horz" wrap="square" lIns="91440" tIns="45720" rIns="91440" bIns="45720" anchor="ctr" anchorCtr="0" upright="1">
                                    <a:noAutofit/>
                                  </wps:bodyPr>
                                </wps:wsp>
                                <wps:wsp>
                                  <wps:cNvPr id="327" name="圓角矩形 12"/>
                                  <wps:cNvSpPr>
                                    <a:spLocks noChangeArrowheads="1"/>
                                  </wps:cNvSpPr>
                                  <wps:spPr bwMode="auto">
                                    <a:xfrm>
                                      <a:off x="14001" y="1785"/>
                                      <a:ext cx="22680" cy="36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C4250" w:rsidRPr="005F2589" w:rsidRDefault="005C4250" w:rsidP="005C4250">
                                        <w:pPr>
                                          <w:spacing w:line="320" w:lineRule="exact"/>
                                          <w:ind w:leftChars="-50" w:left="-120" w:rightChars="-50" w:right="-120"/>
                                          <w:jc w:val="center"/>
                                          <w:rPr>
                                            <w:rFonts w:eastAsia="標楷體"/>
                                            <w:color w:val="000000"/>
                                            <w:spacing w:val="-4"/>
                                          </w:rPr>
                                        </w:pPr>
                                        <w:r w:rsidRPr="005F2589">
                                          <w:rPr>
                                            <w:rFonts w:eastAsia="標楷體" w:hAnsi="標楷體"/>
                                            <w:color w:val="000000"/>
                                            <w:spacing w:val="-4"/>
                                          </w:rPr>
                                          <w:t>對我國經濟之影響</w:t>
                                        </w:r>
                                      </w:p>
                                    </w:txbxContent>
                                  </wps:txbx>
                                  <wps:bodyPr rot="0" vert="horz" wrap="square" lIns="91440" tIns="45720" rIns="91440" bIns="45720" anchor="ctr" anchorCtr="0" upright="1">
                                    <a:noAutofit/>
                                  </wps:bodyPr>
                                </wps:wsp>
                                <wps:wsp>
                                  <wps:cNvPr id="328" name="圓角矩形 13"/>
                                  <wps:cNvSpPr>
                                    <a:spLocks noChangeArrowheads="1"/>
                                  </wps:cNvSpPr>
                                  <wps:spPr bwMode="auto">
                                    <a:xfrm>
                                      <a:off x="38973" y="1684"/>
                                      <a:ext cx="10080" cy="3601"/>
                                    </a:xfrm>
                                    <a:prstGeom prst="roundRect">
                                      <a:avLst>
                                        <a:gd name="adj" fmla="val 16667"/>
                                      </a:avLst>
                                    </a:prstGeom>
                                    <a:solidFill>
                                      <a:srgbClr val="B7DEE8"/>
                                    </a:solidFill>
                                    <a:ln w="19050">
                                      <a:solidFill>
                                        <a:srgbClr val="000000"/>
                                      </a:solidFill>
                                      <a:round/>
                                      <a:headEnd/>
                                      <a:tailEnd/>
                                    </a:ln>
                                  </wps:spPr>
                                  <wps:txb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挑戰</w:t>
                                        </w:r>
                                      </w:p>
                                    </w:txbxContent>
                                  </wps:txbx>
                                  <wps:bodyPr rot="0" vert="horz" wrap="square" lIns="91440" tIns="45720" rIns="91440" bIns="45720" anchor="ctr" anchorCtr="0" upright="1">
                                    <a:noAutofit/>
                                  </wps:bodyPr>
                                </wps:wsp>
                              </wpg:grpSp>
                              <wps:wsp>
                                <wps:cNvPr id="329" name="圓角矩形 14"/>
                                <wps:cNvSpPr>
                                  <a:spLocks noChangeArrowheads="1"/>
                                </wps:cNvSpPr>
                                <wps:spPr bwMode="auto">
                                  <a:xfrm>
                                    <a:off x="17907" y="7512"/>
                                    <a:ext cx="15119" cy="36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我國因應策略</w:t>
                                      </w:r>
                                    </w:p>
                                  </w:txbxContent>
                                </wps:txbx>
                                <wps:bodyPr rot="0" vert="horz" wrap="square" lIns="91440" tIns="45720" rIns="91440" bIns="45720" anchor="ctr" anchorCtr="0" upright="1">
                                  <a:noAutofit/>
                                </wps:bodyPr>
                              </wps:wsp>
                              <wpg:grpSp>
                                <wpg:cNvPr id="330" name="群組 45"/>
                                <wpg:cNvGrpSpPr>
                                  <a:grpSpLocks/>
                                </wpg:cNvGrpSpPr>
                                <wpg:grpSpPr bwMode="auto">
                                  <a:xfrm>
                                    <a:off x="6667" y="5333"/>
                                    <a:ext cx="37440" cy="1269"/>
                                    <a:chOff x="-1143" y="-381"/>
                                    <a:chExt cx="37440" cy="1269"/>
                                  </a:xfrm>
                                </wpg:grpSpPr>
                                <wps:wsp>
                                  <wps:cNvPr id="331" name="直線接點 41"/>
                                  <wps:cNvCnPr>
                                    <a:cxnSpLocks noChangeShapeType="1"/>
                                  </wps:cNvCnPr>
                                  <wps:spPr bwMode="auto">
                                    <a:xfrm>
                                      <a:off x="-1143" y="887"/>
                                      <a:ext cx="37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2" name="直線接點 44"/>
                                  <wps:cNvCnPr>
                                    <a:cxnSpLocks noChangeShapeType="1"/>
                                  </wps:cNvCnPr>
                                  <wps:spPr bwMode="auto">
                                    <a:xfrm flipH="1" flipV="1">
                                      <a:off x="36293" y="-381"/>
                                      <a:ext cx="2" cy="12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333" name="群組 51"/>
                          <wpg:cNvGrpSpPr>
                            <a:grpSpLocks/>
                          </wpg:cNvGrpSpPr>
                          <wpg:grpSpPr bwMode="auto">
                            <a:xfrm>
                              <a:off x="14544" y="26898"/>
                              <a:ext cx="32629" cy="1277"/>
                              <a:chOff x="1876" y="2144"/>
                              <a:chExt cx="32629" cy="1281"/>
                            </a:xfrm>
                          </wpg:grpSpPr>
                          <wps:wsp>
                            <wps:cNvPr id="334" name="直線接點 20"/>
                            <wps:cNvCnPr>
                              <a:cxnSpLocks noChangeShapeType="1"/>
                            </wps:cNvCnPr>
                            <wps:spPr bwMode="auto">
                              <a:xfrm>
                                <a:off x="1878" y="3321"/>
                                <a:ext cx="32609" cy="1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 name="直線接點 22"/>
                            <wps:cNvCnPr>
                              <a:cxnSpLocks noChangeShapeType="1"/>
                              <a:stCxn id="530" idx="2"/>
                            </wps:cNvCnPr>
                            <wps:spPr bwMode="auto">
                              <a:xfrm flipH="1">
                                <a:off x="1876" y="2144"/>
                                <a:ext cx="4" cy="12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 name="直線接點 23"/>
                            <wps:cNvCnPr>
                              <a:cxnSpLocks noChangeShapeType="1"/>
                            </wps:cNvCnPr>
                            <wps:spPr bwMode="auto">
                              <a:xfrm flipH="1">
                                <a:off x="34500" y="2156"/>
                                <a:ext cx="5" cy="12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37" name="直線接點 2"/>
                        <wps:cNvCnPr>
                          <a:cxnSpLocks noChangeShapeType="1"/>
                        </wps:cNvCnPr>
                        <wps:spPr bwMode="auto">
                          <a:xfrm>
                            <a:off x="16842" y="31887"/>
                            <a:ext cx="22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直線接點 18"/>
                        <wps:cNvCnPr>
                          <a:cxnSpLocks noChangeShapeType="1"/>
                        </wps:cNvCnPr>
                        <wps:spPr bwMode="auto">
                          <a:xfrm>
                            <a:off x="41909" y="31527"/>
                            <a:ext cx="23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群組 19" o:spid="_x0000_s1027" style="width:432.4pt;height:326.25pt;mso-position-horizontal-relative:char;mso-position-vertical-relative:line" coordsize="54913,3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">
                <v:group id="群組 1" o:spid="_x0000_s1028" style="position:absolute;width:54913;height:39597" coordsize="54913,39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群組 52" o:spid="_x0000_s1029" style="position:absolute;width:54913;height:39597" coordorigin="1809,4334" coordsize="54913,39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group id="群組 48" o:spid="_x0000_s1030" style="position:absolute;left:1809;top:4334;width:5493;height:39605" coordorigin="1809,4334" coordsize="5492,39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roundrect id="圓角矩形 15" o:spid="_x0000_s1031" style="position:absolute;left:1809;top:4334;width:5398;height:10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h+8IA&#10;AADcAAAADwAAAGRycy9kb3ducmV2LnhtbERPz2vCMBS+D/wfwhN2m6mFbdoZRRRx4A7aDnZ9NG9N&#10;sXkpTax1f/1yEDx+fL8Xq8E2oqfO144VTCcJCOLS6ZorBd/F7mUGwgdkjY1jUnAjD6vl6GmBmXZX&#10;PlGfh0rEEPYZKjAhtJmUvjRk0U9cSxy5X9dZDBF2ldQdXmO4bWSaJG/SYs2xwWBLG0PlOb9YBcj7&#10;v1tRerc/Hmfz982Bt+brR6nn8bD+ABFoCA/x3f2pFbymcX4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qH7wgAAANwAAAAPAAAAAAAAAAAAAAAAAJgCAABkcnMvZG93&#10;bnJldi54bWxQSwUGAAAAAAQABAD1AAAAhwMAAAAA&#10;" fillcolor="#8eb4e3" strokecolor="#376092" strokeweight="1.5pt">
                        <v:textbox style="layout-flow:vertical-ideographic">
                          <w:txbxContent>
                            <w:p w:rsidR="005C4250" w:rsidRPr="005F2589" w:rsidRDefault="005C4250" w:rsidP="005C4250">
                              <w:pPr>
                                <w:spacing w:before="40"/>
                                <w:jc w:val="center"/>
                                <w:rPr>
                                  <w:rFonts w:eastAsia="標楷體"/>
                                  <w:b/>
                                  <w:color w:val="000000"/>
                                </w:rPr>
                              </w:pPr>
                              <w:r w:rsidRPr="005F2589">
                                <w:rPr>
                                  <w:rFonts w:eastAsia="標楷體" w:hAnsi="標楷體"/>
                                  <w:b/>
                                  <w:color w:val="000000"/>
                                </w:rPr>
                                <w:t>趨勢背景</w:t>
                              </w:r>
                            </w:p>
                          </w:txbxContent>
                        </v:textbox>
                      </v:roundrect>
                      <v:roundrect id="圓角矩形 16" o:spid="_x0000_s1032" style="position:absolute;left:1809;top:16286;width:5398;height:14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EYMUA&#10;AADcAAAADwAAAGRycy9kb3ducmV2LnhtbESPQWvCQBSE70L/w/IK3nSjUJtGVymWEqEebCz0+sg+&#10;s6HZtyG71cRf3xUKHoeZ+YZZbXrbiDN1vnasYDZNQBCXTtdcKfg6vk9SED4ga2wck4KBPGzWD6MV&#10;Ztpd+JPORahEhLDPUIEJoc2k9KUhi37qWuLonVxnMUTZVVJ3eIlw28h5kiykxZrjgsGWtobKn+LX&#10;KkDOr8Ox9C4/HNKX5+0Hv5n9t1Ljx/51CSJQH+7h//ZOK3iaz+B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gRgxQAAANwAAAAPAAAAAAAAAAAAAAAAAJgCAABkcnMv&#10;ZG93bnJldi54bWxQSwUGAAAAAAQABAD1AAAAigMAAAAA&#10;" fillcolor="#8eb4e3" strokecolor="#376092" strokeweight="1.5pt">
                        <v:textbox style="layout-flow:vertical-ideographic">
                          <w:txbxContent>
                            <w:p w:rsidR="005C4250" w:rsidRPr="005F2589" w:rsidRDefault="005C4250" w:rsidP="005C4250">
                              <w:pPr>
                                <w:spacing w:before="40"/>
                                <w:jc w:val="center"/>
                                <w:rPr>
                                  <w:rFonts w:eastAsia="標楷體"/>
                                  <w:b/>
                                  <w:color w:val="000000"/>
                                </w:rPr>
                              </w:pPr>
                              <w:r w:rsidRPr="005F2589">
                                <w:rPr>
                                  <w:rFonts w:eastAsia="標楷體" w:hAnsi="標楷體"/>
                                  <w:b/>
                                  <w:color w:val="000000"/>
                                </w:rPr>
                                <w:t>議題研究</w:t>
                              </w:r>
                            </w:p>
                          </w:txbxContent>
                        </v:textbox>
                      </v:roundrect>
                      <v:roundrect id="圓角矩形 17" o:spid="_x0000_s1033" style="position:absolute;left:1904;top:32403;width:5398;height:115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F8UA&#10;AADcAAAADwAAAGRycy9kb3ducmV2LnhtbESPS2vDMBCE74X+B7GF3Bq5hubhRA4lpSTQHvKCXBdr&#10;Y5lYK2OpjpNfXxUCOQ4z8w0zX/S2Fh21vnKs4G2YgCAunK64VHDYf71OQPiArLF2TAqu5GGRPz/N&#10;MdPuwlvqdqEUEcI+QwUmhCaT0heGLPqha4ijd3KtxRBlW0rd4iXCbS3TJBlJixXHBYMNLQ0V592v&#10;VYC8ul33hXerzWYyHS+/+dP8HJUavPQfMxCB+vAI39trreA9Te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JoXxQAAANwAAAAPAAAAAAAAAAAAAAAAAJgCAABkcnMv&#10;ZG93bnJldi54bWxQSwUGAAAAAAQABAD1AAAAigMAAAAA&#10;" fillcolor="#8eb4e3" strokecolor="#376092" strokeweight="1.5pt">
                        <v:textbox style="layout-flow:vertical-ideographic">
                          <w:txbxContent>
                            <w:p w:rsidR="005C4250" w:rsidRPr="005F2589" w:rsidRDefault="005C4250" w:rsidP="005C4250">
                              <w:pPr>
                                <w:spacing w:before="40"/>
                                <w:jc w:val="center"/>
                                <w:rPr>
                                  <w:rFonts w:eastAsia="標楷體"/>
                                  <w:b/>
                                  <w:color w:val="000000"/>
                                </w:rPr>
                              </w:pPr>
                              <w:r w:rsidRPr="005F2589">
                                <w:rPr>
                                  <w:rFonts w:eastAsia="標楷體" w:hAnsi="標楷體"/>
                                  <w:b/>
                                  <w:color w:val="000000"/>
                                </w:rPr>
                                <w:t>政策建議</w:t>
                              </w:r>
                            </w:p>
                          </w:txbxContent>
                        </v:textbox>
                      </v:roundrect>
                    </v:group>
                    <v:group id="群組 50" o:spid="_x0000_s1034" style="position:absolute;left:8572;top:5956;width:48151;height:37065" coordorigin="1523,3860" coordsize="48150,37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群組 46" o:spid="_x0000_s1035" style="position:absolute;left:1569;top:3860;width:48105;height:25292" coordorigin="1569,3860" coordsize="48104,2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group id="群組 30" o:spid="_x0000_s1036" style="position:absolute;left:9429;top:3860;width:31503;height:5856" coordorigin="476,3860" coordsize="31502,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oundrect id="圓角矩形 3" o:spid="_x0000_s1037" style="position:absolute;left:476;top:3860;width:15119;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ZwcUA&#10;AADcAAAADwAAAGRycy9kb3ducmV2LnhtbESPT0sDMRTE7wW/Q3hCb21ii11ZmxYtFPRk/128PTbP&#10;7OrmZUnidvvtjVDocZiZ3zDL9eBa0VOIjWcND1MFgrjypmGr4XTcTp5AxIRssPVMGi4UYb26Gy2x&#10;NP7Me+oPyYoM4ViihjqlrpQyVjU5jFPfEWfvyweHKctgpQl4znDXyplSC+mw4bxQY0ebmqqfw6/T&#10;sJgn9xoKtdl/b21hL5/9u9p9aD2+H16eQSQa0i18bb8ZDY+zAv7P5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dnBxQAAANwAAAAPAAAAAAAAAAAAAAAAAJgCAABkcnMv&#10;ZG93bnJldi54bWxQSwUGAAAAAAQABAD1AAAAigMAAAAA&#10;" filled="f" strokeweight="1.5pt">
                            <v:textbo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中國大陸經濟</w:t>
                                  </w:r>
                                  <w:r w:rsidRPr="005F2589">
                                    <w:rPr>
                                      <w:rFonts w:eastAsia="標楷體"/>
                                      <w:color w:val="000000"/>
                                    </w:rPr>
                                    <w:br/>
                                  </w:r>
                                  <w:r w:rsidRPr="005F2589">
                                    <w:rPr>
                                      <w:rFonts w:eastAsia="標楷體" w:hAnsi="標楷體"/>
                                      <w:color w:val="000000"/>
                                    </w:rPr>
                                    <w:t>與產業發展趨勢</w:t>
                                  </w:r>
                                </w:p>
                              </w:txbxContent>
                            </v:textbox>
                          </v:roundrect>
                          <v:roundrect id="圓角矩形 4" o:spid="_x0000_s1038" style="position:absolute;left:16859;top:3956;width:15119;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5Ns8IA&#10;AADcAAAADwAAAGRycy9kb3ducmV2LnhtbERPy2oCMRTdF/yHcAV3NVGplqlRVBDaVetj091lcpsZ&#10;ndwMSRzHv28WhS4P571c964RHYVYe9YwGSsQxKU3NVsN59P++RVETMgGG8+k4UER1qvB0xIL4+98&#10;oO6YrMghHAvUUKXUFlLGsiKHcexb4sz9+OAwZRisNAHvOdw1cqrUXDqsOTdU2NKuovJ6vDkN81ly&#10;27BQu8Nlbxf28d19qK9PrUfDfvMGIlGf/sV/7nej4WWa1+Yz+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k2zwgAAANwAAAAPAAAAAAAAAAAAAAAAAJgCAABkcnMvZG93&#10;bnJldi54bWxQSwUGAAAAAAQABAD1AAAAhwMAAAAA&#10;" filled="f" strokeweight="1.5pt">
                            <v:textbox>
                              <w:txbxContent>
                                <w:p w:rsidR="005C4250" w:rsidRPr="005F2589" w:rsidRDefault="005C4250" w:rsidP="005C4250">
                                  <w:pPr>
                                    <w:spacing w:line="320" w:lineRule="exact"/>
                                    <w:ind w:leftChars="-50" w:left="-120" w:rightChars="-50" w:right="-120"/>
                                    <w:jc w:val="center"/>
                                    <w:rPr>
                                      <w:rFonts w:eastAsia="標楷體"/>
                                      <w:color w:val="000000"/>
                                      <w:spacing w:val="-4"/>
                                    </w:rPr>
                                  </w:pPr>
                                  <w:r w:rsidRPr="005F2589">
                                    <w:rPr>
                                      <w:rFonts w:eastAsia="標楷體" w:hAnsi="標楷體"/>
                                      <w:color w:val="000000"/>
                                      <w:spacing w:val="-4"/>
                                    </w:rPr>
                                    <w:t>中共十八大換屆</w:t>
                                  </w:r>
                                  <w:r w:rsidRPr="005F2589">
                                    <w:rPr>
                                      <w:rFonts w:eastAsia="標楷體"/>
                                      <w:color w:val="000000"/>
                                      <w:spacing w:val="-4"/>
                                    </w:rPr>
                                    <w:br/>
                                  </w:r>
                                  <w:r w:rsidRPr="005F2589">
                                    <w:rPr>
                                      <w:rFonts w:eastAsia="標楷體" w:hAnsi="標楷體"/>
                                      <w:color w:val="000000"/>
                                      <w:spacing w:val="-4"/>
                                    </w:rPr>
                                    <w:t>新一代領導執政</w:t>
                                  </w:r>
                                  <w:r w:rsidRPr="005F2589">
                                    <w:rPr>
                                      <w:rFonts w:eastAsia="標楷體"/>
                                      <w:color w:val="000000"/>
                                      <w:spacing w:val="-4"/>
                                    </w:rPr>
                                    <w:br/>
                                  </w:r>
                                </w:p>
                              </w:txbxContent>
                            </v:textbox>
                          </v:roundrect>
                        </v:group>
                        <v:group id="群組 32" o:spid="_x0000_s1039" style="position:absolute;left:1569;top:21580;width:48105;height:7572" coordorigin="1569,-231" coordsize="48104,7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roundrect id="圓角矩形 8" o:spid="_x0000_s1040" style="position:absolute;left:1569;top:-131;width:15480;height:7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NVMEA&#10;AADcAAAADwAAAGRycy9kb3ducmV2LnhtbERPy4rCMBTdC/MP4Q7MTlMrilSjyIA4rhwfuL4217TY&#10;3HSaWOvfm8WAy8N5z5edrURLjS8dKxgOEhDEudMlGwWn47o/BeEDssbKMSl4kofl4qM3x0y7B++p&#10;PQQjYgj7DBUUIdSZlD4vyKIfuJo4clfXWAwRNkbqBh8x3FYyTZKJtFhybCiwpu+C8tvhbhXszGpt&#10;tvX+75SeL6M06XZh89sq9fXZrWYgAnXhLf53/2gF41G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jVTBAAAA3AAAAA8AAAAAAAAAAAAAAAAAmAIAAGRycy9kb3du&#10;cmV2LnhtbFBLBQYAAAAABAAEAPUAAACGAwAAAAA=&#10;" fillcolor="#d9d9d9" strokeweight="1.5pt">
                            <v:textbo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稅制調整下生產性服務業之發展</w:t>
                                  </w:r>
                                </w:p>
                              </w:txbxContent>
                            </v:textbox>
                          </v:roundrect>
                          <v:roundrect id="圓角矩形 9" o:spid="_x0000_s1041" style="position:absolute;left:17907;top:-131;width:15480;height:74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oz8QA&#10;AADcAAAADwAAAGRycy9kb3ducmV2LnhtbESPT2vCQBTE70K/w/IKvenGiFJSV5GCWE/+Cz2/Zl83&#10;odm3aXaN8du7guBxmJnfMPNlb2vRUesrxwrGowQEceF0xUZBfloP30H4gKyxdkwKruRhuXgZzDHT&#10;7sIH6o7BiAhhn6GCMoQmk9IXJVn0I9cQR+/XtRZDlK2RusVLhNtapkkykxYrjgslNvRZUvF3PFsF&#10;O7Nam21z+M/T759JmvS7sNl3Sr299qsPEIH68Aw/2l9awXQyhv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RKM/EAAAA3AAAAA8AAAAAAAAAAAAAAAAAmAIAAGRycy9k&#10;b3ducmV2LnhtbFBLBQYAAAAABAAEAPUAAACJAwAAAAA=&#10;" fillcolor="#d9d9d9" strokeweight="1.5pt">
                            <v:textbo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中國大陸對外開放及區域經貿戰略之調整</w:t>
                                  </w:r>
                                </w:p>
                              </w:txbxContent>
                            </v:textbox>
                          </v:roundrect>
                          <v:roundrect id="圓角矩形 10" o:spid="_x0000_s1042" style="position:absolute;left:34194;top:-231;width:15480;height:7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2uMUA&#10;AADcAAAADwAAAGRycy9kb3ducmV2LnhtbESPzWrDMBCE74W8g9hAb40ch5bgRjYhENqe8md63lpb&#10;2cRaOZbquG9fBQo5DjPzDbMqRtuKgXrfOFYwnyUgiCunGzYKytP2aQnCB2SNrWNS8EseinzysMJM&#10;uysfaDgGIyKEfYYK6hC6TEpf1WTRz1xHHL1v11sMUfZG6h6vEW5bmSbJi7TYcFyosaNNTdX5+GMV&#10;7Mx6az66w6VMP78WaTLuwtt+UOpxOq5fQQQawz38337XCp4XK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7a4xQAAANwAAAAPAAAAAAAAAAAAAAAAAJgCAABkcnMv&#10;ZG93bnJldi54bWxQSwUGAAAAAAQABAD1AAAAigMAAAAA&#10;" fillcolor="#d9d9d9" strokeweight="1.5pt">
                            <v:textbo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自動化趨勢對兩岸製造業競爭之影響</w:t>
                                  </w:r>
                                  <w:r w:rsidRPr="005F2589">
                                    <w:rPr>
                                      <w:rFonts w:eastAsia="標楷體"/>
                                      <w:color w:val="000000"/>
                                    </w:rPr>
                                    <w:br/>
                                  </w:r>
                                </w:p>
                              </w:txbxContent>
                            </v:textbox>
                          </v:roundrect>
                        </v:group>
                        <v:group id="群組 37" o:spid="_x0000_s1043" style="position:absolute;left:17047;top:9575;width:16572;height:4615" coordorigin="9141,4050" coordsize="16571,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群組 36" o:spid="_x0000_s1044" style="position:absolute;left:9141;top:6190;width:16569;height:2475" coordorigin="9141,2951" coordsize="16568,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直線接點 24" o:spid="_x0000_s1045" style="position:absolute;flip:y;visibility:visible;mso-wrap-style:square" from="9141,2951" to="25710,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F0HMQAAADcAAAADwAAAGRycy9kb3ducmV2LnhtbESPQWsCMRSE7wX/Q3iCt5qt4iJboxRB&#10;UOyhVcHrY/N2s3TzsiTRXf99IxR6HGbmG2a1GWwr7uRD41jB2zQDQVw63XCt4HLevS5BhIissXVM&#10;Ch4UYLMevayw0K7nb7qfYi0ShEOBCkyMXSFlKA1ZDFPXESevct5iTNLXUnvsE9y2cpZlubTYcFow&#10;2NHWUPlzulkF8nDsv/xudqnqat+568F85v2g1GQ8fLyDiDTE//Bfe68VLOY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XQcxAAAANwAAAAPAAAAAAAAAAAA&#10;AAAAAKECAABkcnMvZG93bnJldi54bWxQSwUGAAAAAAQABAD5AAAAkgMAAAAA&#10;" strokeweight="1.5pt"/>
                            <v:line id="直線接點 27" o:spid="_x0000_s1046" style="position:absolute;visibility:visible;mso-wrap-style:square" from="17493,2952" to="17525,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sTtcUAAADcAAAADwAAAGRycy9kb3ducmV2LnhtbESPT2vCQBTE7wW/w/IEb3VjpVWiq0jB&#10;P/TWVARvj+wzicm+jbsbTb99t1DocZiZ3zDLdW8acSfnK8sKJuMEBHFudcWFguPX9nkOwgdkjY1l&#10;UvBNHtarwdMSU20f/En3LBQiQtinqKAMoU2l9HlJBv3YtsTRu1hnMETpCqkdPiLcNPIlSd6kwYrj&#10;QoktvZeU11lnFJy6jM/Xeusa7Hb7/eV0q/30Q6nRsN8sQATqw3/4r33QCl6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sTtcUAAADcAAAADwAAAAAAAAAA&#10;AAAAAAChAgAAZHJzL2Rvd25yZXYueG1sUEsFBgAAAAAEAAQA+QAAAJMDAAAAAA==&#10;" strokeweight="1.5pt"/>
                          </v:group>
                          <v:group id="群組 35" o:spid="_x0000_s1047" style="position:absolute;left:9141;top:4050;width:16572;height:2245" coordorigin="474,4050" coordsize="1657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line id="直線接點 28" o:spid="_x0000_s1048" style="position:absolute;visibility:visible;mso-wrap-style:square" from="474,4050" to="474,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iXMUAAADcAAAADwAAAGRycy9kb3ducmV2LnhtbESPT2vCQBTE7wW/w/IEb3VjpUWjq0jB&#10;P/TWVARvj+wzicm+jbsbTb99t1DocZiZ3zDLdW8acSfnK8sKJuMEBHFudcWFguPX9nkGwgdkjY1l&#10;UvBNHtarwdMSU20f/En3LBQiQtinqKAMoU2l9HlJBv3YtsTRu1hnMETpCqkdPiLcNPIlSd6kwYrj&#10;QoktvZeU11lnFJy6jM/Xeusa7Hb7/eV0q/30Q6nRsN8sQATqw3/4r33QCl6n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giXMUAAADcAAAADwAAAAAAAAAA&#10;AAAAAAChAgAAZHJzL2Rvd25yZXYueG1sUEsFBgAAAAAEAAQA+QAAAJMDAAAAAA==&#10;" strokeweight="1.5pt"/>
                            <v:line id="直線接點 29" o:spid="_x0000_s1049" style="position:absolute;visibility:visible;mso-wrap-style:square" from="17046,4241" to="17046,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4vMEAAADcAAAADwAAAGRycy9kb3ducmV2LnhtbERPz2vCMBS+C/sfwhvspuncHFKNMgTn&#10;8GYdgrdH82xrm5cuSbX+9+YgePz4fs+XvWnEhZyvLCt4HyUgiHOrKy4U/O3XwykIH5A1NpZJwY08&#10;LBcvgzmm2l55R5csFCKGsE9RQRlCm0rp85IM+pFtiSN3ss5giNAVUju8xnDTyHGSfEmDFceGElta&#10;lZTXWWcUHLqMj+d67Rrsfjab0+G/9h9bpd5e++8ZiEB9eIof7l+tYPIZ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Pi8wQAAANwAAAAPAAAAAAAAAAAAAAAA&#10;AKECAABkcnMvZG93bnJldi54bWxQSwUGAAAAAAQABAD5AAAAjwMAAAAA&#10;" strokeweight="1.5pt"/>
                          </v:group>
                        </v:group>
                        <v:group id="群組 40" o:spid="_x0000_s1050" style="position:absolute;left:8952;top:17757;width:32681;height:3953" coordorigin="1236,-911" coordsize="32681,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line id="直線接點 34" o:spid="_x0000_s1051" style="position:absolute;visibility:visible;mso-wrap-style:square" from="1236,1516" to="1236,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DUMUAAADcAAAADwAAAGRycy9kb3ducmV2LnhtbESPQWvCQBSE74X+h+UVems21VpKdJUi&#10;qMWbaRF6e2SfSUz2bdzdaPrvXUHocZiZb5jZYjCtOJPztWUFr0kKgriwuuZSwc/36uUDhA/IGlvL&#10;pOCPPCzmjw8zzLS98I7OeShFhLDPUEEVQpdJ6YuKDPrEdsTRO1hnMETpSqkdXiLctHKUpu/SYM1x&#10;ocKOlhUVTd4bBfs+599js3It9uvN5rA/NX68Ver5aficggg0hP/wvf2lFUze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DUMUAAADcAAAADwAAAAAAAAAA&#10;AAAAAAChAgAAZHJzL2Rvd25yZXYueG1sUEsFBgAAAAAEAAQA+QAAAJMDAAAAAA==&#10;" strokeweight="1.5pt"/>
                          <v:line id="直線接點 38" o:spid="_x0000_s1052" style="position:absolute;visibility:visible;mso-wrap-style:square" from="17803,-911" to="17803,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Zmy8UAAADcAAAADwAAAGRycy9kb3ducmV2LnhtbESPT2vCQBTE7wW/w/IEb3VjbUWiq0jB&#10;P/TWVARvj+wzicm+jbsbTb99t1DocZiZ3zDLdW8acSfnK8sKJuMEBHFudcWFguPX9nkOwgdkjY1l&#10;UvBNHtarwdMSU20f/En3LBQiQtinqKAMoU2l9HlJBv3YtsTRu1hnMETpCqkdPiLcNPIlSWbSYMVx&#10;ocSW3kvK66wzCk5dxudrvXUNdrv9/nK61X76odRo2G8WIAL14T/81z5oBW+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Zmy8UAAADcAAAADwAAAAAAAAAA&#10;AAAAAAChAgAAZHJzL2Rvd25yZXYueG1sUEsFBgAAAAAEAAQA+QAAAJMDAAAAAA==&#10;" strokeweight="1.5pt"/>
                          <v:line id="直線接點 39" o:spid="_x0000_s1053" style="position:absolute;visibility:visible;mso-wrap-style:square" from="33918,1516" to="33918,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f5MEAAADcAAAADwAAAGRycy9kb3ducmV2LnhtbERPy4rCMBTdC/MP4Q7MTtNREKlGEcEH&#10;s7OK4O7SXNva5qaTpNr5+8lCcHk478WqN414kPOVZQXfowQEcW51xYWC82k7nIHwAVljY5kU/JGH&#10;1fJjsMBU2ycf6ZGFQsQQ9ikqKENoUyl9XpJBP7ItceRu1hkMEbpCaofPGG4aOU6SqTRYcWwosaVN&#10;SXmddUbBpcv4eq+3rsFut9/fLr+1n/wo9fXZr+cgAvXhLX65D1rBZBz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0N/kwQAAANwAAAAPAAAAAAAAAAAAAAAA&#10;AKECAABkcnMvZG93bnJldi54bWxQSwUGAAAAAAQABAD5AAAAjwMAAAAA&#10;" strokeweight="1.5pt"/>
                        </v:group>
                      </v:group>
                      <v:group id="群組 47" o:spid="_x0000_s1054" style="position:absolute;left:1523;top:31498;width:47530;height:9428" coordorigin="1523,1684" coordsize="47529,9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群組 33" o:spid="_x0000_s1055" style="position:absolute;left:1523;top:1684;width:47530;height:3701" coordorigin="1523,1684" coordsize="47529,3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oundrect id="圓角矩形 11" o:spid="_x0000_s1056" style="position:absolute;left:1523;top:1737;width:1008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3lsQA&#10;AADcAAAADwAAAGRycy9kb3ducmV2LnhtbESPzW7CMBCE75V4B2uRuIFTEIgGDKLlR/RUEfoAS7zE&#10;KfE6ig2Et68rIfU4mplvNPNlaytxo8aXjhW8DhIQxLnTJRcKvo/b/hSED8gaK8ek4EEelovOyxxT&#10;7e58oFsWChEh7FNUYEKoUyl9bsiiH7iaOHpn11gMUTaF1A3eI9xWcpgkE2mx5LhgsKYPQ/klu1oF&#10;67fjz05uPk955uvxvvh6P2/IKNXrtqsZiEBt+A8/23utYDSc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95bEAAAA3AAAAA8AAAAAAAAAAAAAAAAAmAIAAGRycy9k&#10;b3ducmV2LnhtbFBLBQYAAAAABAAEAPUAAACJAwAAAAA=&#10;" fillcolor="#fcd5b5" strokeweight="1.5pt">
                            <v:textbo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機會</w:t>
                                  </w:r>
                                </w:p>
                              </w:txbxContent>
                            </v:textbox>
                          </v:roundrect>
                          <v:roundrect id="圓角矩形 12" o:spid="_x0000_s1057" style="position:absolute;left:14001;top:1785;width:2268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bOcQA&#10;AADcAAAADwAAAGRycy9kb3ducmV2LnhtbESPQWsCMRSE70L/Q3gFb5pUwS1bo1hB0FOr9tLbY/Oa&#10;3bp5WZK4rv++KRR6HGbmG2a5Hlwregqx8azhaapAEFfeNGw1fJx3k2cQMSEbbD2ThjtFWK8eRkss&#10;jb/xkfpTsiJDOJaooU6pK6WMVU0O49R3xNn78sFhyjJYaQLeMty1cqbUQjpsOC/U2NG2pupyujoN&#10;i3lyr6FQ2+P3zhb2/tkf1Pub1uPHYfMCItGQ/sN/7b3RMJ8V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GznEAAAA3AAAAA8AAAAAAAAAAAAAAAAAmAIAAGRycy9k&#10;b3ducmV2LnhtbFBLBQYAAAAABAAEAPUAAACJAwAAAAA=&#10;" filled="f" strokeweight="1.5pt">
                            <v:textbox>
                              <w:txbxContent>
                                <w:p w:rsidR="005C4250" w:rsidRPr="005F2589" w:rsidRDefault="005C4250" w:rsidP="005C4250">
                                  <w:pPr>
                                    <w:spacing w:line="320" w:lineRule="exact"/>
                                    <w:ind w:leftChars="-50" w:left="-120" w:rightChars="-50" w:right="-120"/>
                                    <w:jc w:val="center"/>
                                    <w:rPr>
                                      <w:rFonts w:eastAsia="標楷體"/>
                                      <w:color w:val="000000"/>
                                      <w:spacing w:val="-4"/>
                                    </w:rPr>
                                  </w:pPr>
                                  <w:r w:rsidRPr="005F2589">
                                    <w:rPr>
                                      <w:rFonts w:eastAsia="標楷體" w:hAnsi="標楷體"/>
                                      <w:color w:val="000000"/>
                                      <w:spacing w:val="-4"/>
                                    </w:rPr>
                                    <w:t>對我國經濟之影響</w:t>
                                  </w:r>
                                </w:p>
                              </w:txbxContent>
                            </v:textbox>
                          </v:roundrect>
                          <v:roundrect id="圓角矩形 13" o:spid="_x0000_s1058" style="position:absolute;left:38973;top:1684;width:10080;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wQ8MA&#10;AADcAAAADwAAAGRycy9kb3ducmV2LnhtbERPz2vCMBS+D/Y/hDfYbaa6IVqNIm5jYk9TQbw9mmdb&#10;bV5Kk9nmvzcHYceP7/d82Zta3Kh1lWUFw0ECgji3uuJCwWH//TYB4TyyxtoyKQjkYLl4fppjqm3H&#10;v3Tb+ULEEHYpKii9b1IpXV6SQTewDXHkzrY16CNsC6lb7GK4qeUoScbSYMWxocSG1iXl192fUfB1&#10;+vg5hnCtP6eXS5hstlnWhUyp15d+NQPhqff/4od7oxW8j+LaeC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wQ8MAAADcAAAADwAAAAAAAAAAAAAAAACYAgAAZHJzL2Rv&#10;d25yZXYueG1sUEsFBgAAAAAEAAQA9QAAAIgDAAAAAA==&#10;" fillcolor="#b7dee8" strokeweight="1.5pt">
                            <v:textbo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挑戰</w:t>
                                  </w:r>
                                </w:p>
                              </w:txbxContent>
                            </v:textbox>
                          </v:roundrect>
                        </v:group>
                        <v:roundrect id="圓角矩形 14" o:spid="_x0000_s1059" style="position:absolute;left:17907;top:7512;width:15119;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q0MUA&#10;AADcAAAADwAAAGRycy9kb3ducmV2LnhtbESPT2sCMRTE74V+h/AK3mpSBa1bo7SCoCfrn4u3x+Y1&#10;u+3mZUnSdf32Rij0OMzMb5j5sneN6CjE2rOGl6ECQVx6U7PVcDqun19BxIRssPFMGq4UYbl4fJhj&#10;YfyF99QdkhUZwrFADVVKbSFlLCtyGIe+Jc7elw8OU5bBShPwkuGukSOlJtJhzXmhwpZWFZU/h1+n&#10;YTJO7iNM1Wr/vbZTez13W/W503rw1L+/gUjUp//wX3tjNIxHM7ify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SrQxQAAANwAAAAPAAAAAAAAAAAAAAAAAJgCAABkcnMv&#10;ZG93bnJldi54bWxQSwUGAAAAAAQABAD1AAAAigMAAAAA&#10;" filled="f" strokeweight="1.5pt">
                          <v:textbox>
                            <w:txbxContent>
                              <w:p w:rsidR="005C4250" w:rsidRPr="005F2589" w:rsidRDefault="005C4250" w:rsidP="005C4250">
                                <w:pPr>
                                  <w:spacing w:line="320" w:lineRule="exact"/>
                                  <w:jc w:val="center"/>
                                  <w:rPr>
                                    <w:rFonts w:eastAsia="標楷體"/>
                                    <w:color w:val="000000"/>
                                  </w:rPr>
                                </w:pPr>
                                <w:r w:rsidRPr="005F2589">
                                  <w:rPr>
                                    <w:rFonts w:eastAsia="標楷體" w:hAnsi="標楷體"/>
                                    <w:color w:val="000000"/>
                                  </w:rPr>
                                  <w:t>我國因應策略</w:t>
                                </w:r>
                              </w:p>
                            </w:txbxContent>
                          </v:textbox>
                        </v:roundrect>
                        <v:group id="群組 45" o:spid="_x0000_s1060" style="position:absolute;left:6667;top:5333;width:37440;height:1269" coordorigin="-1143,-381" coordsize="37440,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直線接點 41" o:spid="_x0000_s1061" style="position:absolute;visibility:visible;mso-wrap-style:square" from="-1143,887" to="3629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sosQAAADcAAAADwAAAGRycy9kb3ducmV2LnhtbESPQWvCQBSE7wX/w/KE3upGA0Wiq4ig&#10;lt4aRfD2yD6TmOzbuLvR9N93C4Ueh5n5hlmuB9OKBzlfW1YwnSQgiAuray4VnI67tzkIH5A1tpZJ&#10;wTd5WK9GL0vMtH3yFz3yUIoIYZ+hgiqELpPSFxUZ9BPbEUfvap3BEKUrpXb4jHDTylmSvEuDNceF&#10;CjvaVlQ0eW8UnPucL7dm51rs94fD9XxvfPqp1Ot42CxABBrCf/iv/aEVpOk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eyixAAAANwAAAAPAAAAAAAAAAAA&#10;AAAAAKECAABkcnMvZG93bnJldi54bWxQSwUGAAAAAAQABAD5AAAAkgMAAAAA&#10;" strokeweight="1.5pt"/>
                          <v:line id="直線接點 44" o:spid="_x0000_s1062" style="position:absolute;flip:x y;visibility:visible;mso-wrap-style:square" from="36293,-381" to="3629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H38MAAADcAAAADwAAAGRycy9kb3ducmV2LnhtbESPT4vCMBTE7wt+h/AEb5paZZFqFP8g&#10;eNVV1NuzebbV5qU0Ueu33ywIexxm5jfMZNaYUjypdoVlBf1eBII4tbrgTMH+Z90dgXAeWWNpmRS8&#10;ycFs2vqaYKLti7f03PlMBAi7BBXk3leJlC7NyaDr2Yo4eFdbG/RB1pnUNb4C3JQyjqJvabDgsJBj&#10;Rcuc0vvuYRRU7Ibx+XJcnMss9pvhYSVHp5tSnXYzH4Pw1Pj/8Ke90QoGgxj+zoQjI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8B9/DAAAA3AAAAA8AAAAAAAAAAAAA&#10;AAAAoQIAAGRycy9kb3ducmV2LnhtbFBLBQYAAAAABAAEAPkAAACRAwAAAAA=&#10;" strokeweight="1.5pt"/>
                        </v:group>
                      </v:group>
                    </v:group>
                  </v:group>
                  <v:group id="群組 51" o:spid="_x0000_s1063" style="position:absolute;left:14544;top:26898;width:32629;height:1277" coordorigin="1876,2144" coordsize="32629,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直線接點 20" o:spid="_x0000_s1064" style="position:absolute;visibility:visible;mso-wrap-style:square" from="1878,3321" to="34487,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POsQAAADcAAAADwAAAGRycy9kb3ducmV2LnhtbESPQWvCQBSE7wX/w/IEb3WjKUVSVymC&#10;WnprFKG3R/aZpMm+jbsbTf99VxB6HGbmG2a5HkwrruR8bVnBbJqAIC6srrlUcDxsnxcgfEDW2Fom&#10;Bb/kYb0aPS0x0/bGX3TNQykihH2GCqoQukxKX1Rk0E9tRxy9s3UGQ5SulNrhLcJNK+dJ8ioN1hwX&#10;KuxoU1HR5L1RcOpz/v5ptq7Ffrffn0+XxqefSk3Gw/sbiEBD+A8/2h9aQZq+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k86xAAAANwAAAAPAAAAAAAAAAAA&#10;AAAAAKECAABkcnMvZG93bnJldi54bWxQSwUGAAAAAAQABAD5AAAAkgMAAAAA&#10;" strokeweight="1.5pt"/>
                    <v:line id="直線接點 22" o:spid="_x0000_s1065" style="position:absolute;flip:x;visibility:visible;mso-wrap-style:square" from="1876,2144" to="1880,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ok8MAAADcAAAADwAAAGRycy9kb3ducmV2LnhtbESPQWsCMRSE74L/ITyhN82qVMpqFBEE&#10;xR6sFbw+Nm83i5uXJUnd9d83BaHHYWa+YVab3jbiQT7UjhVMJxkI4sLpmisF1+/9+ANEiMgaG8ek&#10;4EkBNuvhYIW5dh1/0eMSK5EgHHJUYGJscylDYchimLiWOHml8xZjkr6S2mOX4LaRsyxbSIs1pwWD&#10;Le0MFffLj1Ugj6fu7Peza1mVh9bdjuZz0fVKvY367RJEpD7+h1/tg1Ywn7/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YKJPDAAAA3AAAAA8AAAAAAAAAAAAA&#10;AAAAoQIAAGRycy9kb3ducmV2LnhtbFBLBQYAAAAABAAEAPkAAACRAwAAAAA=&#10;" strokeweight="1.5pt"/>
                    <v:line id="直線接點 23" o:spid="_x0000_s1066" style="position:absolute;flip:x;visibility:visible;mso-wrap-style:square" from="34500,2156" to="34505,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25MQAAADcAAAADwAAAGRycy9kb3ducmV2LnhtbESPQWvCQBSE74L/YXmCN91UIZTUVaQg&#10;KO2h1UCvj+xLNph9G3a3Jv77bkHwOMzMN8xmN9pO3MiH1rGCl2UGgrhyuuVGQXk5LF5BhIissXNM&#10;Cu4UYLedTjZYaDfwN93OsREJwqFABSbGvpAyVIYshqXriZNXO28xJukbqT0OCW47ucqyXFpsOS0Y&#10;7OndUHU9/1oF8vQxfPnDqqyb+ti7n5P5zIdRqfls3L+BiDTGZ/jRPmoF63UO/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rbkxAAAANwAAAAPAAAAAAAAAAAA&#10;AAAAAKECAABkcnMvZG93bnJldi54bWxQSwUGAAAAAAQABAD5AAAAkgMAAAAA&#10;" strokeweight="1.5pt"/>
                  </v:group>
                </v:group>
                <v:line id="直線接點 2" o:spid="_x0000_s1067" style="position:absolute;visibility:visible;mso-wrap-style:square" from="16842,31887" to="19141,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RTcQAAADcAAAADwAAAGRycy9kb3ducmV2LnhtbESPQWvCQBSE7wX/w/IEb3WjgVZSVymC&#10;WnprFKG3R/aZpMm+jbsbTf99VxB6HGbmG2a5HkwrruR8bVnBbJqAIC6srrlUcDxsnxcgfEDW2Fom&#10;Bb/kYb0aPS0x0/bGX3TNQykihH2GCqoQukxKX1Rk0E9tRxy9s3UGQ5SulNrhLcJNK+dJ8iIN1hwX&#10;KuxoU1HR5L1RcOpz/v5ptq7Ffrffn0+XxqefSk3Gw/sbiEBD+A8/2h9aQZq+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4NFNxAAAANwAAAAPAAAAAAAAAAAA&#10;AAAAAKECAABkcnMvZG93bnJldi54bWxQSwUGAAAAAAQABAD5AAAAkgMAAAAA&#10;" strokeweight="1.5pt"/>
                <v:line id="直線接點 18" o:spid="_x0000_s1068" style="position:absolute;visibility:visible;mso-wrap-style:square" from="41909,31527" to="44212,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FP8EAAADcAAAADwAAAGRycy9kb3ducmV2LnhtbERPz2vCMBS+D/Y/hDfwNtNZEOmMIgOn&#10;eLOKsNujeba1zUuXpFr/e3MQPH58v+fLwbTiSs7XlhV8jRMQxIXVNZcKjof15wyED8gaW8uk4E4e&#10;lov3tzlm2t54T9c8lCKGsM9QQRVCl0npi4oM+rHtiCN3ts5giNCVUju8xXDTykmSTKXBmmNDhR39&#10;VFQ0eW8UnPqc/y7N2rXY/24259N/49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0U/wQAAANwAAAAPAAAAAAAAAAAAAAAA&#10;AKECAABkcnMvZG93bnJldi54bWxQSwUGAAAAAAQABAD5AAAAjwMAAAAA&#10;" strokeweight="1.5pt"/>
                <w10:anchorlock/>
              </v:group>
            </w:pict>
          </mc:Fallback>
        </mc:AlternateContent>
      </w:r>
    </w:p>
    <w:p w:rsidR="00AF48ED" w:rsidRPr="009F2A4B" w:rsidRDefault="00DB0C74" w:rsidP="00AF48ED">
      <w:pPr>
        <w:pStyle w:val="af0"/>
      </w:pPr>
      <w:bookmarkStart w:id="11" w:name="_Toc405462615"/>
      <w:r w:rsidRPr="009F2A4B">
        <w:rPr>
          <w:rFonts w:hint="eastAsia"/>
        </w:rPr>
        <w:t>圖</w:t>
      </w:r>
      <w:r>
        <w:t>1-</w:t>
      </w:r>
      <w:r w:rsidRPr="009F2A4B">
        <w:t>1</w:t>
      </w:r>
      <w:r>
        <w:rPr>
          <w:rFonts w:hint="eastAsia"/>
        </w:rPr>
        <w:t xml:space="preserve">　</w:t>
      </w:r>
      <w:r w:rsidRPr="009F2A4B">
        <w:rPr>
          <w:rFonts w:hint="eastAsia"/>
        </w:rPr>
        <w:t>研究架構圖</w:t>
      </w:r>
      <w:bookmarkEnd w:id="11"/>
    </w:p>
    <w:p w:rsidR="00AF48ED" w:rsidRPr="00576BE6" w:rsidRDefault="00DB0C74" w:rsidP="00AF48ED">
      <w:pPr>
        <w:pStyle w:val="-"/>
        <w:spacing w:before="108" w:after="108"/>
        <w:ind w:firstLine="520"/>
        <w:rPr>
          <w:rFonts w:ascii="標楷體" w:hAnsi="標楷體"/>
        </w:rPr>
      </w:pPr>
      <w:r w:rsidRPr="00576BE6">
        <w:rPr>
          <w:rFonts w:ascii="標楷體" w:hAnsi="標楷體" w:hint="eastAsia"/>
        </w:rPr>
        <w:t>具體而言，本研究首先將在研究期間內隨時追蹤習李新政的重大改革動向並提供初步分析與可能影響，在議題選擇與分析上，以即時性、廣泛</w:t>
      </w:r>
      <w:r w:rsidRPr="00576BE6">
        <w:rPr>
          <w:rFonts w:ascii="標楷體" w:hAnsi="標楷體" w:hint="eastAsia"/>
        </w:rPr>
        <w:lastRenderedPageBreak/>
        <w:t>性與影響度（對我國影響）為主要選取原則來進行。在各專題探討方面，首先選擇延伸十八屆三中全會改革方案當中關於「深化財稅體制改革」與「構建開放型經濟新體制」等兩個面向的影響，前者關於營業稅改增值稅的部分將會大幅改變中國大陸服務業與製造業之間的分工與發展，對於具有廣大生產能量的製造業臺商來說是經營內涵的轉變，對於服務業臺商來說是大好發展機會，因此我們聚焦於最為關鍵的生產性服務業的發展來深入觀察探討；至於在構建開放新體制方面，可以更廣泛地分析中國大陸面對世界經濟整合新局，其</w:t>
      </w:r>
      <w:r w:rsidR="0059025F">
        <w:rPr>
          <w:rFonts w:ascii="標楷體" w:hAnsi="標楷體" w:hint="eastAsia"/>
        </w:rPr>
        <w:t>對外開放與經貿</w:t>
      </w:r>
      <w:r w:rsidRPr="00576BE6">
        <w:rPr>
          <w:rFonts w:ascii="標楷體" w:hAnsi="標楷體" w:hint="eastAsia"/>
        </w:rPr>
        <w:t>戰略內涵的變化，包括</w:t>
      </w:r>
      <w:r w:rsidR="0059025F">
        <w:rPr>
          <w:rFonts w:ascii="標楷體" w:hAnsi="標楷體" w:hint="eastAsia"/>
        </w:rPr>
        <w:t>絲路</w:t>
      </w:r>
      <w:r w:rsidRPr="00576BE6">
        <w:rPr>
          <w:rFonts w:ascii="標楷體" w:hAnsi="標楷體" w:hint="eastAsia"/>
        </w:rPr>
        <w:t>戰略重點、</w:t>
      </w:r>
      <w:r w:rsidR="0059025F" w:rsidRPr="00576BE6">
        <w:rPr>
          <w:rFonts w:ascii="標楷體" w:hAnsi="標楷體" w:hint="eastAsia"/>
        </w:rPr>
        <w:t>區域經貿</w:t>
      </w:r>
      <w:r w:rsidRPr="00576BE6">
        <w:rPr>
          <w:rFonts w:ascii="標楷體" w:hAnsi="標楷體" w:hint="eastAsia"/>
        </w:rPr>
        <w:t>自</w:t>
      </w:r>
      <w:r w:rsidR="0059025F">
        <w:rPr>
          <w:rFonts w:ascii="標楷體" w:hAnsi="標楷體" w:hint="eastAsia"/>
        </w:rPr>
        <w:t>整合以及自</w:t>
      </w:r>
      <w:r w:rsidRPr="00576BE6">
        <w:rPr>
          <w:rFonts w:ascii="標楷體" w:hAnsi="標楷體" w:hint="eastAsia"/>
        </w:rPr>
        <w:t>貿區等。另外，改革方案開放「單獨兩孩」，揭示了中國大陸未來人口，尤其是勞動人口將持續下降的趨勢，這對於產業型態有深遠意涵，我們認為製造產業自動化的議題具有深入探討的價值，這也對於以製造業為重要內涵的我國經濟有重大的意涵。</w:t>
      </w:r>
    </w:p>
    <w:p w:rsidR="00AF48ED" w:rsidRPr="00576BE6" w:rsidRDefault="00DB0C74" w:rsidP="00AF48ED">
      <w:pPr>
        <w:pStyle w:val="-"/>
        <w:spacing w:before="108" w:after="108"/>
        <w:ind w:firstLine="520"/>
        <w:rPr>
          <w:rFonts w:ascii="標楷體" w:hAnsi="標楷體"/>
        </w:rPr>
      </w:pPr>
      <w:r w:rsidRPr="00576BE6">
        <w:rPr>
          <w:rFonts w:ascii="標楷體" w:hAnsi="標楷體" w:hint="eastAsia"/>
        </w:rPr>
        <w:t>因此，我們將略述中國大陸經濟與產業發展的新趨勢，政策面則勾勒十八屆三中全會改革方案所描繪出的改革藍圖，動態式追蹤改革新措施，以此為主要經濟與政策背景，並針對上述三項子議題來進行探討，包括其政策議題發展背景、目前進行中的政策內容以及未來可能的發展預判。之後，據此分析其對我國經濟可能之影響，以機會與挑戰的不同面向來區別，從而提出我國應有之因應策略建議。</w:t>
      </w:r>
    </w:p>
    <w:p w:rsidR="00AF48ED" w:rsidRPr="00AF48ED" w:rsidRDefault="00DB0C74" w:rsidP="00045E6C">
      <w:pPr>
        <w:pStyle w:val="3"/>
        <w:spacing w:beforeLines="100" w:before="360" w:after="72"/>
        <w:rPr>
          <w:rFonts w:ascii="Times New Roman" w:hAnsi="Times New Roman"/>
        </w:rPr>
      </w:pPr>
      <w:r>
        <w:rPr>
          <w:rFonts w:ascii="Times New Roman" w:hAnsi="Times New Roman" w:hint="eastAsia"/>
        </w:rPr>
        <w:t>貳、</w:t>
      </w:r>
      <w:r w:rsidRPr="00AF48ED">
        <w:rPr>
          <w:rFonts w:ascii="Times New Roman" w:hAnsi="Times New Roman" w:hint="eastAsia"/>
        </w:rPr>
        <w:t>研究方法</w:t>
      </w:r>
    </w:p>
    <w:p w:rsidR="00AF48ED" w:rsidRPr="00864D77" w:rsidRDefault="00DB0C74" w:rsidP="00AF48ED">
      <w:pPr>
        <w:pStyle w:val="-"/>
        <w:spacing w:before="108" w:after="108"/>
        <w:ind w:firstLine="520"/>
        <w:rPr>
          <w:rFonts w:ascii="標楷體" w:hAnsi="標楷體"/>
          <w:color w:val="000000"/>
        </w:rPr>
      </w:pPr>
      <w:r w:rsidRPr="00864D77">
        <w:rPr>
          <w:rFonts w:ascii="標楷體" w:hAnsi="標楷體" w:hint="eastAsia"/>
          <w:color w:val="000000"/>
        </w:rPr>
        <w:t>本計</w:t>
      </w:r>
      <w:r w:rsidR="007C3CB5" w:rsidRPr="00864D77">
        <w:rPr>
          <w:rFonts w:ascii="標楷體" w:hAnsi="標楷體" w:hint="eastAsia"/>
          <w:color w:val="000000"/>
        </w:rPr>
        <w:t>畫</w:t>
      </w:r>
      <w:r w:rsidRPr="00864D77">
        <w:rPr>
          <w:rFonts w:ascii="標楷體" w:hAnsi="標楷體" w:hint="eastAsia"/>
          <w:color w:val="000000"/>
        </w:rPr>
        <w:t>的研究方法包括以下層面：</w:t>
      </w:r>
    </w:p>
    <w:p w:rsidR="00AF48ED" w:rsidRPr="00576BE6" w:rsidRDefault="00DB0C74" w:rsidP="00AF48ED">
      <w:pPr>
        <w:pStyle w:val="-"/>
        <w:spacing w:before="108" w:after="108"/>
        <w:ind w:firstLine="520"/>
        <w:rPr>
          <w:rFonts w:ascii="標楷體" w:hAnsi="標楷體"/>
        </w:rPr>
      </w:pPr>
      <w:r w:rsidRPr="00864D77">
        <w:rPr>
          <w:rFonts w:ascii="標楷體" w:hAnsi="標楷體"/>
          <w:color w:val="000000"/>
        </w:rPr>
        <w:t>1.</w:t>
      </w:r>
      <w:r w:rsidRPr="00864D77">
        <w:rPr>
          <w:rFonts w:ascii="標楷體" w:hAnsi="標楷體" w:hint="eastAsia"/>
          <w:color w:val="000000"/>
        </w:rPr>
        <w:t>次級資料</w:t>
      </w:r>
      <w:r w:rsidRPr="00576BE6">
        <w:rPr>
          <w:rFonts w:ascii="標楷體" w:hAnsi="標楷體" w:hint="eastAsia"/>
        </w:rPr>
        <w:t>之收集與分析：第一研究層面係由中國大陸政府政策文件、新聞報導、專家評論、統計資料與相關研究文獻所構成。有鑒於許多預定分析的政策都將持續調整更新，研究團隊除了整理既有政策內容與影響評論之外，並將隨時追蹤三中全會後各項改革內容的新發展以及隨時發布之新政策。研究所參考的文獻來源包括但不限於：國內外中英文期刊、書籍、</w:t>
      </w:r>
      <w:r w:rsidRPr="00576BE6">
        <w:rPr>
          <w:rFonts w:ascii="標楷體" w:hAnsi="標楷體" w:hint="eastAsia"/>
        </w:rPr>
        <w:lastRenderedPageBreak/>
        <w:t>國內相關學位論文、政府公報與政策檔、報章雜誌、資料庫統計數據、網路資料等。</w:t>
      </w:r>
    </w:p>
    <w:p w:rsidR="00AF48ED" w:rsidRPr="00576BE6" w:rsidRDefault="00DB0C74" w:rsidP="00AF48ED">
      <w:pPr>
        <w:pStyle w:val="-"/>
        <w:spacing w:before="108" w:after="108"/>
        <w:ind w:firstLine="520"/>
        <w:rPr>
          <w:rFonts w:ascii="標楷體" w:hAnsi="標楷體"/>
        </w:rPr>
      </w:pPr>
      <w:r w:rsidRPr="00576BE6">
        <w:rPr>
          <w:rFonts w:ascii="標楷體" w:hAnsi="標楷體"/>
        </w:rPr>
        <w:t>2.</w:t>
      </w:r>
      <w:r w:rsidRPr="00576BE6">
        <w:rPr>
          <w:rFonts w:ascii="標楷體" w:hAnsi="標楷體" w:hint="eastAsia"/>
        </w:rPr>
        <w:t>參與相關的研討會</w:t>
      </w:r>
      <w:r w:rsidRPr="00576BE6">
        <w:rPr>
          <w:rFonts w:ascii="標楷體" w:hAnsi="標楷體"/>
        </w:rPr>
        <w:t>/</w:t>
      </w:r>
      <w:r w:rsidRPr="00576BE6">
        <w:rPr>
          <w:rFonts w:ascii="標楷體" w:hAnsi="標楷體" w:hint="eastAsia"/>
        </w:rPr>
        <w:t>論壇：</w:t>
      </w:r>
      <w:r w:rsidR="005A6602">
        <w:rPr>
          <w:rFonts w:ascii="標楷體" w:hAnsi="標楷體" w:hint="eastAsia"/>
        </w:rPr>
        <w:t>透過</w:t>
      </w:r>
      <w:r w:rsidRPr="00576BE6">
        <w:rPr>
          <w:rFonts w:ascii="標楷體" w:hAnsi="標楷體" w:hint="eastAsia"/>
        </w:rPr>
        <w:t>本研究參與人員參與</w:t>
      </w:r>
      <w:r w:rsidR="005A6602" w:rsidRPr="00576BE6">
        <w:rPr>
          <w:rFonts w:ascii="標楷體" w:hAnsi="標楷體" w:hint="eastAsia"/>
        </w:rPr>
        <w:t>相關</w:t>
      </w:r>
      <w:r w:rsidRPr="00576BE6">
        <w:rPr>
          <w:rFonts w:ascii="標楷體" w:hAnsi="標楷體" w:hint="eastAsia"/>
        </w:rPr>
        <w:t>議題之研討會</w:t>
      </w:r>
      <w:r w:rsidRPr="00576BE6">
        <w:rPr>
          <w:rFonts w:ascii="標楷體" w:hAnsi="標楷體"/>
        </w:rPr>
        <w:t>/</w:t>
      </w:r>
      <w:r w:rsidRPr="00576BE6">
        <w:rPr>
          <w:rFonts w:ascii="標楷體" w:hAnsi="標楷體" w:hint="eastAsia"/>
        </w:rPr>
        <w:t>論壇，力求緊密掌握兩岸、各國官方、產業界與學術界對中國大陸三中全會後經濟政策調整的最新方向的看法與評論，以豐富本研究的素材與完備即時資訊的追蹤。</w:t>
      </w:r>
    </w:p>
    <w:p w:rsidR="00AF48ED" w:rsidRPr="00576BE6" w:rsidRDefault="00DB0C74" w:rsidP="00AF48ED">
      <w:pPr>
        <w:pStyle w:val="-"/>
        <w:spacing w:before="108" w:after="108"/>
        <w:ind w:firstLine="520"/>
        <w:rPr>
          <w:rFonts w:ascii="標楷體" w:hAnsi="標楷體"/>
        </w:rPr>
      </w:pPr>
      <w:r w:rsidRPr="00576BE6">
        <w:rPr>
          <w:rFonts w:ascii="標楷體" w:hAnsi="標楷體"/>
        </w:rPr>
        <w:t>3.</w:t>
      </w:r>
      <w:r w:rsidR="007B11B8">
        <w:rPr>
          <w:rFonts w:ascii="標楷體" w:hAnsi="標楷體" w:hint="eastAsia"/>
        </w:rPr>
        <w:t>透過拜訪與出差</w:t>
      </w:r>
      <w:r w:rsidR="005A6602">
        <w:rPr>
          <w:rFonts w:ascii="標楷體" w:hAnsi="標楷體" w:hint="eastAsia"/>
        </w:rPr>
        <w:t>進行專家訪談：部分對於產業界</w:t>
      </w:r>
      <w:r w:rsidRPr="00576BE6">
        <w:rPr>
          <w:rFonts w:ascii="標楷體" w:hAnsi="標楷體" w:hint="eastAsia"/>
        </w:rPr>
        <w:t>之衝擊影響必須透過訪談的方式來取得</w:t>
      </w:r>
      <w:r w:rsidR="005A6602">
        <w:rPr>
          <w:rFonts w:ascii="標楷體" w:hAnsi="標楷體" w:hint="eastAsia"/>
        </w:rPr>
        <w:t>專業性</w:t>
      </w:r>
      <w:r w:rsidRPr="00576BE6">
        <w:rPr>
          <w:rFonts w:ascii="標楷體" w:hAnsi="標楷體" w:hint="eastAsia"/>
        </w:rPr>
        <w:t>的</w:t>
      </w:r>
      <w:r w:rsidR="005A6602">
        <w:rPr>
          <w:rFonts w:ascii="標楷體" w:hAnsi="標楷體" w:hint="eastAsia"/>
        </w:rPr>
        <w:t>看法</w:t>
      </w:r>
      <w:r w:rsidRPr="00576BE6">
        <w:rPr>
          <w:rFonts w:ascii="標楷體" w:hAnsi="標楷體" w:hint="eastAsia"/>
        </w:rPr>
        <w:t>，本研究</w:t>
      </w:r>
      <w:r w:rsidR="005A6602">
        <w:rPr>
          <w:rFonts w:ascii="標楷體" w:hAnsi="標楷體" w:hint="eastAsia"/>
        </w:rPr>
        <w:t>針對自動化趨勢對我國產業影響</w:t>
      </w:r>
      <w:r w:rsidRPr="00576BE6">
        <w:rPr>
          <w:rFonts w:ascii="標楷體" w:hAnsi="標楷體" w:hint="eastAsia"/>
        </w:rPr>
        <w:t>，進行</w:t>
      </w:r>
      <w:r w:rsidR="005A6602">
        <w:rPr>
          <w:rFonts w:ascii="標楷體" w:hAnsi="標楷體" w:hint="eastAsia"/>
        </w:rPr>
        <w:t>了</w:t>
      </w:r>
      <w:r w:rsidRPr="00576BE6">
        <w:rPr>
          <w:rFonts w:ascii="標楷體" w:hAnsi="標楷體" w:hint="eastAsia"/>
        </w:rPr>
        <w:t>專家訪談，</w:t>
      </w:r>
      <w:r w:rsidR="005A6602">
        <w:rPr>
          <w:rFonts w:ascii="標楷體" w:hAnsi="標楷體" w:hint="eastAsia"/>
        </w:rPr>
        <w:t>針對習李新政的重要改革內容以及未來動向，完成</w:t>
      </w:r>
      <w:r w:rsidRPr="00576BE6">
        <w:rPr>
          <w:rFonts w:ascii="標楷體" w:hAnsi="標楷體" w:hint="eastAsia"/>
        </w:rPr>
        <w:t>赴中國大陸</w:t>
      </w:r>
      <w:r w:rsidR="005A6602">
        <w:rPr>
          <w:rFonts w:ascii="標楷體" w:hAnsi="標楷體" w:hint="eastAsia"/>
        </w:rPr>
        <w:t>上海市</w:t>
      </w:r>
      <w:r w:rsidRPr="00576BE6">
        <w:rPr>
          <w:rFonts w:ascii="標楷體" w:hAnsi="標楷體" w:hint="eastAsia"/>
        </w:rPr>
        <w:t>出差</w:t>
      </w:r>
      <w:r w:rsidR="005A6602">
        <w:rPr>
          <w:rFonts w:ascii="標楷體" w:hAnsi="標楷體" w:hint="eastAsia"/>
        </w:rPr>
        <w:t>，拜訪諸多研究單位包括政府智庫與大學等之相關領域的學者專家</w:t>
      </w:r>
      <w:r w:rsidRPr="00576BE6">
        <w:rPr>
          <w:rFonts w:ascii="標楷體" w:hAnsi="標楷體" w:hint="eastAsia"/>
        </w:rPr>
        <w:t>，</w:t>
      </w:r>
      <w:r w:rsidR="005A6602">
        <w:rPr>
          <w:rFonts w:ascii="標楷體" w:hAnsi="標楷體" w:hint="eastAsia"/>
        </w:rPr>
        <w:t>補充了研究的不足</w:t>
      </w:r>
      <w:r w:rsidRPr="00576BE6">
        <w:rPr>
          <w:rFonts w:ascii="標楷體" w:hAnsi="標楷體" w:hint="eastAsia"/>
        </w:rPr>
        <w:t>。</w:t>
      </w:r>
    </w:p>
    <w:p w:rsidR="00B43E5D" w:rsidRPr="00576BE6" w:rsidRDefault="00DB0C74" w:rsidP="00AF48ED">
      <w:pPr>
        <w:pStyle w:val="-"/>
        <w:spacing w:before="108" w:after="108"/>
        <w:ind w:firstLine="520"/>
        <w:rPr>
          <w:rFonts w:ascii="標楷體" w:hAnsi="標楷體"/>
        </w:rPr>
      </w:pPr>
      <w:r w:rsidRPr="00576BE6">
        <w:rPr>
          <w:rFonts w:ascii="標楷體" w:hAnsi="標楷體"/>
        </w:rPr>
        <w:t>4.</w:t>
      </w:r>
      <w:r w:rsidRPr="00576BE6">
        <w:rPr>
          <w:rFonts w:ascii="標楷體" w:hAnsi="標楷體" w:hint="eastAsia"/>
        </w:rPr>
        <w:t>綜合歸納：綜合次級資料分析、參與研討會以及第一手蒐集訊息等之成果，歸納出中國大陸當前經濟政策在特定子議題範圍內之內容與變化，綜合分析對我國產業</w:t>
      </w:r>
      <w:r w:rsidRPr="00576BE6">
        <w:rPr>
          <w:rFonts w:ascii="標楷體" w:hAnsi="標楷體"/>
        </w:rPr>
        <w:t>/</w:t>
      </w:r>
      <w:r w:rsidRPr="00576BE6">
        <w:rPr>
          <w:rFonts w:ascii="標楷體" w:hAnsi="標楷體" w:hint="eastAsia"/>
        </w:rPr>
        <w:t>經濟發展之機會與挑戰，配合我國當前重要兩岸與經貿政策新內容，提出相關之政策建議。</w:t>
      </w:r>
    </w:p>
    <w:p w:rsidR="00510EC9" w:rsidRPr="009F2A4B" w:rsidRDefault="00510EC9" w:rsidP="00B43E5D">
      <w:pPr>
        <w:pStyle w:val="-"/>
        <w:spacing w:before="108" w:after="108"/>
        <w:ind w:firstLine="520"/>
        <w:sectPr w:rsidR="00510EC9" w:rsidRPr="009F2A4B" w:rsidSect="00A7436E">
          <w:pgSz w:w="11906" w:h="16838"/>
          <w:pgMar w:top="1440" w:right="1800" w:bottom="1440" w:left="1800" w:header="851" w:footer="992" w:gutter="0"/>
          <w:cols w:space="425"/>
          <w:docGrid w:type="lines" w:linePitch="360"/>
        </w:sectPr>
      </w:pPr>
    </w:p>
    <w:p w:rsidR="00B43E5D" w:rsidRPr="00270C6F" w:rsidRDefault="00DB0C74" w:rsidP="00510EC9">
      <w:pPr>
        <w:pStyle w:val="1"/>
        <w:rPr>
          <w:spacing w:val="-4"/>
        </w:rPr>
      </w:pPr>
      <w:bookmarkStart w:id="12" w:name="_Toc405462581"/>
      <w:r w:rsidRPr="00270C6F">
        <w:rPr>
          <w:rFonts w:hint="eastAsia"/>
          <w:spacing w:val="-4"/>
        </w:rPr>
        <w:lastRenderedPageBreak/>
        <w:t>第二章　習李新政重大改革動向觀察</w:t>
      </w:r>
      <w:bookmarkEnd w:id="12"/>
    </w:p>
    <w:p w:rsidR="004712D1" w:rsidRPr="00576BE6" w:rsidRDefault="00DB0C74" w:rsidP="004712D1">
      <w:pPr>
        <w:pStyle w:val="-"/>
        <w:spacing w:before="108" w:after="108"/>
        <w:ind w:firstLine="520"/>
        <w:rPr>
          <w:rFonts w:ascii="標楷體" w:hAnsi="標楷體"/>
        </w:rPr>
      </w:pPr>
      <w:r w:rsidRPr="003718F2">
        <w:rPr>
          <w:rFonts w:hint="eastAsia"/>
        </w:rPr>
        <w:t>中</w:t>
      </w:r>
      <w:r w:rsidRPr="00576BE6">
        <w:rPr>
          <w:rFonts w:ascii="標楷體" w:hAnsi="標楷體" w:hint="eastAsia"/>
        </w:rPr>
        <w:t>共於</w:t>
      </w:r>
      <w:r w:rsidRPr="00576BE6">
        <w:rPr>
          <w:rFonts w:ascii="標楷體" w:hAnsi="標楷體"/>
        </w:rPr>
        <w:t>2012</w:t>
      </w:r>
      <w:r w:rsidRPr="00576BE6">
        <w:rPr>
          <w:rFonts w:ascii="標楷體" w:hAnsi="標楷體" w:hint="eastAsia"/>
        </w:rPr>
        <w:t>年</w:t>
      </w:r>
      <w:r w:rsidRPr="00576BE6">
        <w:rPr>
          <w:rFonts w:ascii="標楷體" w:hAnsi="標楷體"/>
        </w:rPr>
        <w:t>11</w:t>
      </w:r>
      <w:r w:rsidRPr="00576BE6">
        <w:rPr>
          <w:rFonts w:ascii="標楷體" w:hAnsi="標楷體" w:hint="eastAsia"/>
        </w:rPr>
        <w:t>月召開第十八屆全國黨代表大會，是新舊領導權力更替的重要會議。中共高層職務每五年一個任期，領導人每一職務連任不得超兩屆即十年，所以逢雙數屆的全國黨代表大會都是權力交替的重要場合。再由全國代表大會選出中央委員會，不定期召開全體會議，即所謂的中全會。雙數屆一中、二中全會著眼於人事的變動，三中全會則通常於新任領導接人掌權一年後，政局逐漸穩固後召開。歷屆三中全會向來是中共中央領導闡釋施政理念和改革方向的重要場域，十八屆三中全會習近平與李克強也提出未來十年的黨國發展藍圖和改革策略目標。然而，十八大後中國大陸經濟發展面臨非常嚴峻的考驗，在對外方面，世界經濟復甦放緩，貿易投資保護主義抬頭，擴大外貿受到許多制約；在對內方面，內需難以保持快速成長，企業經營效益低落，財政收入成長減緩。在這種「外需低迷，內需不振」的背景下，過去的經濟成長模式無法持續，加上脆弱且低效率的金融體系，城鄉差距日益擴大等問題，習李新政如何振興經濟發展成為相當考驗其執政能力的重要關鍵。</w:t>
      </w:r>
    </w:p>
    <w:p w:rsidR="00510EC9" w:rsidRPr="00576BE6" w:rsidRDefault="00DB0C74" w:rsidP="004712D1">
      <w:pPr>
        <w:pStyle w:val="-"/>
        <w:spacing w:before="108" w:after="108"/>
        <w:ind w:firstLine="520"/>
        <w:rPr>
          <w:rFonts w:ascii="標楷體" w:hAnsi="標楷體"/>
        </w:rPr>
      </w:pPr>
      <w:r w:rsidRPr="00576BE6">
        <w:rPr>
          <w:rFonts w:ascii="標楷體" w:hAnsi="標楷體" w:hint="eastAsia"/>
        </w:rPr>
        <w:t>習近平與李克強新任領導上臺後已開始陸續釋放、進行許多改革，十八屆三中全會後</w:t>
      </w:r>
      <w:r w:rsidR="007B11B8">
        <w:rPr>
          <w:rFonts w:ascii="標楷體" w:hAnsi="標楷體" w:hint="eastAsia"/>
        </w:rPr>
        <w:t>公布</w:t>
      </w:r>
      <w:r w:rsidRPr="00576BE6">
        <w:rPr>
          <w:rFonts w:ascii="標楷體" w:hAnsi="標楷體" w:hint="eastAsia"/>
        </w:rPr>
        <w:t>之《中共中央關於全面深化改革若干重大問題的決定》則更系統性地勾勒出未來方向，是極為重要的參考文件。該《決定》從經濟、政治、文化、社會、生態文明、國防和軍隊等六個方面，來說明各領域全面深化改革的主要任務和重大舉措。該《決定》定下</w:t>
      </w:r>
      <w:r w:rsidRPr="00576BE6">
        <w:rPr>
          <w:rFonts w:ascii="標楷體" w:hAnsi="標楷體"/>
        </w:rPr>
        <w:t>2020</w:t>
      </w:r>
      <w:r w:rsidRPr="00576BE6">
        <w:rPr>
          <w:rFonts w:ascii="標楷體" w:hAnsi="標楷體" w:hint="eastAsia"/>
        </w:rPr>
        <w:t>年取得決定性成果的目標，將透過已成立之「中央全面深化改革領導小組」（習近平擔任組長）擔任改革的最高領導機構，階段性地進行各項改革工作。本研究進行期間的</w:t>
      </w:r>
      <w:r w:rsidRPr="00576BE6">
        <w:rPr>
          <w:rFonts w:ascii="標楷體" w:hAnsi="標楷體"/>
        </w:rPr>
        <w:t>2014</w:t>
      </w:r>
      <w:r w:rsidRPr="00576BE6">
        <w:rPr>
          <w:rFonts w:ascii="標楷體" w:hAnsi="標楷體" w:hint="eastAsia"/>
        </w:rPr>
        <w:t>年是十八大換屆後第</w:t>
      </w:r>
      <w:r w:rsidRPr="00576BE6">
        <w:rPr>
          <w:rFonts w:ascii="標楷體" w:hAnsi="標楷體"/>
        </w:rPr>
        <w:t>2</w:t>
      </w:r>
      <w:r w:rsidRPr="00576BE6">
        <w:rPr>
          <w:rFonts w:ascii="標楷體" w:hAnsi="標楷體" w:hint="eastAsia"/>
        </w:rPr>
        <w:t>年、三中改革啟動後第</w:t>
      </w:r>
      <w:r w:rsidRPr="00576BE6">
        <w:rPr>
          <w:rFonts w:ascii="標楷體" w:hAnsi="標楷體"/>
        </w:rPr>
        <w:t>1</w:t>
      </w:r>
      <w:r w:rsidRPr="00576BE6">
        <w:rPr>
          <w:rFonts w:ascii="標楷體" w:hAnsi="標楷體" w:hint="eastAsia"/>
        </w:rPr>
        <w:t>年，勢必有更多重量級的改革措施推出，亦可能是許多改革造成的內部利</w:t>
      </w:r>
      <w:r w:rsidRPr="00F80265">
        <w:rPr>
          <w:rFonts w:ascii="標楷體" w:hAnsi="標楷體" w:hint="eastAsia"/>
        </w:rPr>
        <w:t>益矛盾訊息傳出，無論如何都是觀察習李新政非常關鍵的一年。以下我們根據</w:t>
      </w:r>
      <w:r w:rsidRPr="00F80265">
        <w:rPr>
          <w:rFonts w:ascii="標楷體" w:hAnsi="標楷體" w:hint="eastAsia"/>
        </w:rPr>
        <w:lastRenderedPageBreak/>
        <w:t>對於習李上臺後新政措施之觀察，選擇其對於經濟發展方式之調整、對十三五規劃進行預先探討、對新型城鎮化政策內涵以及重點區域發展規劃內涵等進行重點式分析，最後總結之，並追蹤深化改革之最新動向與發展。</w:t>
      </w:r>
    </w:p>
    <w:p w:rsidR="00510EC9" w:rsidRPr="009F2A4B" w:rsidRDefault="00CF44B7" w:rsidP="00F80265">
      <w:pPr>
        <w:pStyle w:val="2"/>
        <w:spacing w:beforeLines="150" w:before="540" w:after="108"/>
      </w:pPr>
      <w:bookmarkStart w:id="13" w:name="_Toc389203187"/>
      <w:bookmarkStart w:id="14" w:name="_Toc405462582"/>
      <w:r>
        <w:rPr>
          <w:rFonts w:hint="eastAsia"/>
        </w:rPr>
        <w:t xml:space="preserve">第一節　</w:t>
      </w:r>
      <w:r w:rsidR="004712D1" w:rsidRPr="004712D1">
        <w:rPr>
          <w:rFonts w:hint="eastAsia"/>
        </w:rPr>
        <w:t>經濟</w:t>
      </w:r>
      <w:r w:rsidR="00F80265">
        <w:rPr>
          <w:rFonts w:hint="eastAsia"/>
        </w:rPr>
        <w:t>發展</w:t>
      </w:r>
      <w:r w:rsidR="0090553E">
        <w:rPr>
          <w:rFonts w:hint="eastAsia"/>
        </w:rPr>
        <w:t>方式調整</w:t>
      </w:r>
      <w:bookmarkEnd w:id="13"/>
      <w:bookmarkEnd w:id="14"/>
    </w:p>
    <w:p w:rsidR="00963EE9" w:rsidRDefault="00DB0C74" w:rsidP="00963EE9">
      <w:pPr>
        <w:pStyle w:val="-"/>
        <w:spacing w:before="108" w:after="108"/>
        <w:ind w:firstLine="520"/>
      </w:pPr>
      <w:r w:rsidRPr="00963EE9">
        <w:rPr>
          <w:rFonts w:hint="eastAsia"/>
        </w:rPr>
        <w:t>習近平與李克強上任後，經濟發展繼承過去累積</w:t>
      </w:r>
      <w:r>
        <w:rPr>
          <w:rFonts w:hint="eastAsia"/>
        </w:rPr>
        <w:t>數十年</w:t>
      </w:r>
      <w:r w:rsidRPr="00963EE9">
        <w:rPr>
          <w:rFonts w:hint="eastAsia"/>
        </w:rPr>
        <w:t>的問題而面臨調整結構的關鍵時刻，其</w:t>
      </w:r>
      <w:r>
        <w:rPr>
          <w:rFonts w:hint="eastAsia"/>
        </w:rPr>
        <w:t>高舉</w:t>
      </w:r>
      <w:r w:rsidRPr="00963EE9">
        <w:rPr>
          <w:rFonts w:hint="eastAsia"/>
        </w:rPr>
        <w:t>深化改革</w:t>
      </w:r>
      <w:r>
        <w:rPr>
          <w:rFonts w:hint="eastAsia"/>
        </w:rPr>
        <w:t>的</w:t>
      </w:r>
      <w:r w:rsidRPr="00963EE9">
        <w:rPr>
          <w:rFonts w:hint="eastAsia"/>
        </w:rPr>
        <w:t>政策主軸</w:t>
      </w:r>
      <w:r>
        <w:rPr>
          <w:rFonts w:hint="eastAsia"/>
        </w:rPr>
        <w:t>要如何</w:t>
      </w:r>
      <w:r w:rsidRPr="00963EE9">
        <w:rPr>
          <w:rFonts w:hint="eastAsia"/>
        </w:rPr>
        <w:t>與經濟</w:t>
      </w:r>
      <w:r>
        <w:rPr>
          <w:rFonts w:hint="eastAsia"/>
        </w:rPr>
        <w:t>持續發展之間</w:t>
      </w:r>
      <w:r w:rsidRPr="00963EE9">
        <w:rPr>
          <w:rFonts w:hint="eastAsia"/>
        </w:rPr>
        <w:t>取得平衡，為眾所矚目的</w:t>
      </w:r>
      <w:r>
        <w:rPr>
          <w:rFonts w:hint="eastAsia"/>
        </w:rPr>
        <w:t>焦點</w:t>
      </w:r>
      <w:r w:rsidRPr="00963EE9">
        <w:rPr>
          <w:rFonts w:hint="eastAsia"/>
        </w:rPr>
        <w:t>。在訂</w:t>
      </w:r>
      <w:r w:rsidRPr="00576BE6">
        <w:rPr>
          <w:rFonts w:hint="eastAsia"/>
        </w:rPr>
        <w:t>立</w:t>
      </w:r>
      <w:r w:rsidRPr="00576BE6">
        <w:t>2014</w:t>
      </w:r>
      <w:r w:rsidRPr="00576BE6">
        <w:rPr>
          <w:rFonts w:hint="eastAsia"/>
        </w:rPr>
        <w:t>年經濟成</w:t>
      </w:r>
      <w:r w:rsidRPr="00576BE6">
        <w:rPr>
          <w:rFonts w:ascii="標楷體" w:hAnsi="標楷體" w:hint="eastAsia"/>
        </w:rPr>
        <w:t>長目標之前</w:t>
      </w:r>
      <w:r w:rsidRPr="00963EE9">
        <w:rPr>
          <w:rFonts w:hint="eastAsia"/>
        </w:rPr>
        <w:t>，習近平與李克強一再針對</w:t>
      </w:r>
      <w:r w:rsidRPr="00963EE9">
        <w:t>GDP</w:t>
      </w:r>
      <w:r w:rsidRPr="00963EE9">
        <w:rPr>
          <w:rFonts w:hint="eastAsia"/>
        </w:rPr>
        <w:t>成長率提出相關論述，其中以習近平提出</w:t>
      </w:r>
      <w:r w:rsidRPr="00963EE9">
        <w:rPr>
          <w:rFonts w:hint="eastAsia"/>
          <w:b/>
        </w:rPr>
        <w:t>「不唯</w:t>
      </w:r>
      <w:r w:rsidRPr="00963EE9">
        <w:rPr>
          <w:b/>
        </w:rPr>
        <w:t>GDP</w:t>
      </w:r>
      <w:r w:rsidRPr="00963EE9">
        <w:rPr>
          <w:rFonts w:hint="eastAsia"/>
          <w:b/>
        </w:rPr>
        <w:t>論英雄」</w:t>
      </w:r>
      <w:r w:rsidR="00C47671">
        <w:rPr>
          <w:rStyle w:val="aff0"/>
        </w:rPr>
        <w:footnoteReference w:id="2"/>
      </w:r>
      <w:r w:rsidRPr="00963EE9">
        <w:rPr>
          <w:rFonts w:hint="eastAsia"/>
        </w:rPr>
        <w:t>，以及李克強的</w:t>
      </w:r>
      <w:r w:rsidRPr="00963EE9">
        <w:rPr>
          <w:rFonts w:hint="eastAsia"/>
          <w:b/>
        </w:rPr>
        <w:t>「上下限」</w:t>
      </w:r>
      <w:r w:rsidRPr="00963EE9">
        <w:rPr>
          <w:rFonts w:hint="eastAsia"/>
        </w:rPr>
        <w:t>和</w:t>
      </w:r>
      <w:r w:rsidRPr="00963EE9">
        <w:rPr>
          <w:rFonts w:hint="eastAsia"/>
          <w:b/>
        </w:rPr>
        <w:t>「左右」</w:t>
      </w:r>
      <w:r w:rsidRPr="00963EE9">
        <w:rPr>
          <w:rFonts w:hint="eastAsia"/>
        </w:rPr>
        <w:t>最具代表性。兩者共同特徵就是將過去只重視經濟成長的表面數字，開始也重視數字背後的實質發展，也就是說改變過去政府主導的擴張性政策，轉為經濟結構的深層改革，目的在於追求經濟</w:t>
      </w:r>
      <w:r>
        <w:rPr>
          <w:rFonts w:hint="eastAsia"/>
        </w:rPr>
        <w:t>長期</w:t>
      </w:r>
      <w:r w:rsidRPr="00963EE9">
        <w:rPr>
          <w:rFonts w:hint="eastAsia"/>
        </w:rPr>
        <w:t>的</w:t>
      </w:r>
      <w:r>
        <w:rPr>
          <w:rFonts w:hint="eastAsia"/>
        </w:rPr>
        <w:t>、持續的與穩定的</w:t>
      </w:r>
      <w:r w:rsidRPr="00963EE9">
        <w:rPr>
          <w:rFonts w:hint="eastAsia"/>
        </w:rPr>
        <w:t>發展，而非只是短</w:t>
      </w:r>
      <w:r>
        <w:rPr>
          <w:rFonts w:hint="eastAsia"/>
        </w:rPr>
        <w:t>期性的表面繁榮</w:t>
      </w:r>
      <w:r w:rsidRPr="00963EE9">
        <w:rPr>
          <w:rFonts w:hint="eastAsia"/>
        </w:rPr>
        <w:t>。</w:t>
      </w:r>
    </w:p>
    <w:p w:rsidR="005117A1" w:rsidRDefault="00DB0C74" w:rsidP="00963EE9">
      <w:pPr>
        <w:pStyle w:val="-"/>
        <w:spacing w:before="108" w:after="108"/>
        <w:ind w:firstLine="520"/>
      </w:pPr>
      <w:r w:rsidRPr="00576BE6">
        <w:t>2013</w:t>
      </w:r>
      <w:r w:rsidRPr="00576BE6">
        <w:rPr>
          <w:rFonts w:hint="eastAsia"/>
        </w:rPr>
        <w:t>年</w:t>
      </w:r>
      <w:r w:rsidRPr="00576BE6">
        <w:t>6</w:t>
      </w:r>
      <w:r w:rsidRPr="00576BE6">
        <w:rPr>
          <w:rFonts w:hint="eastAsia"/>
        </w:rPr>
        <w:t>月習近平在</w:t>
      </w:r>
      <w:r w:rsidRPr="00576BE6">
        <w:rPr>
          <w:rFonts w:ascii="標楷體" w:hAnsi="標楷體" w:hint="eastAsia"/>
        </w:rPr>
        <w:t>中共的全國組織工作會議中提出改進政</w:t>
      </w:r>
      <w:r w:rsidRPr="00963EE9">
        <w:rPr>
          <w:rFonts w:hint="eastAsia"/>
        </w:rPr>
        <w:t>績考核方式，除了既有的</w:t>
      </w:r>
      <w:r w:rsidRPr="00963EE9">
        <w:t>GDP</w:t>
      </w:r>
      <w:r w:rsidRPr="00963EE9">
        <w:rPr>
          <w:rFonts w:hint="eastAsia"/>
        </w:rPr>
        <w:t>成長率，再把民生改善、社會進步、生態效益等指標作為重要考核內容，即所謂</w:t>
      </w:r>
      <w:r w:rsidRPr="00DB7FF8">
        <w:rPr>
          <w:rFonts w:hint="eastAsia"/>
        </w:rPr>
        <w:t>「不唯</w:t>
      </w:r>
      <w:r w:rsidRPr="00DB7FF8">
        <w:t>GDP</w:t>
      </w:r>
      <w:r w:rsidRPr="00DB7FF8">
        <w:rPr>
          <w:rFonts w:hint="eastAsia"/>
        </w:rPr>
        <w:t>論英雄」</w:t>
      </w:r>
      <w:r w:rsidRPr="00963EE9">
        <w:rPr>
          <w:rFonts w:hint="eastAsia"/>
        </w:rPr>
        <w:t>。</w:t>
      </w:r>
      <w:r w:rsidRPr="00576BE6">
        <w:t>2013</w:t>
      </w:r>
      <w:r w:rsidRPr="00576BE6">
        <w:rPr>
          <w:rFonts w:hint="eastAsia"/>
        </w:rPr>
        <w:t>年</w:t>
      </w:r>
      <w:r w:rsidRPr="00576BE6">
        <w:t>11</w:t>
      </w:r>
      <w:r w:rsidRPr="00576BE6">
        <w:rPr>
          <w:rFonts w:hint="eastAsia"/>
        </w:rPr>
        <w:t>月習近平又再次強調，防止把發展簡化為</w:t>
      </w:r>
      <w:r w:rsidRPr="00576BE6">
        <w:t>GDP</w:t>
      </w:r>
      <w:r w:rsidRPr="00576BE6">
        <w:rPr>
          <w:rFonts w:hint="eastAsia"/>
        </w:rPr>
        <w:t>成長。於是</w:t>
      </w:r>
      <w:r w:rsidRPr="00576BE6">
        <w:t>2014</w:t>
      </w:r>
      <w:r w:rsidRPr="00576BE6">
        <w:rPr>
          <w:rFonts w:hint="eastAsia"/>
        </w:rPr>
        <w:t>年</w:t>
      </w:r>
      <w:r w:rsidRPr="00576BE6">
        <w:t>1</w:t>
      </w:r>
      <w:r w:rsidRPr="00576BE6">
        <w:rPr>
          <w:rFonts w:hint="eastAsia"/>
        </w:rPr>
        <w:t>月中共中央頒布實施《黨政領導幹部選拔任用工作條例》（簡稱「《幹部任用條例》），透過法律的形式明確選用幹部的標準。該條例強調：「考察地方黨政領導班子成員，應當把有質量、有效益、可持續的經濟發展和民生改善、社會和諧進步、文化建設、生態文明建設、黨的建設等作為考核評價的重要內容，更加重視勞動就業、居民收入、科技創新、教育文化、社會保障、衛生健康等的考核，強化約束性指標考核，加大資源消耗、環境保護、消化產能</w:t>
      </w:r>
      <w:r w:rsidRPr="00576BE6">
        <w:rPr>
          <w:rFonts w:hint="eastAsia"/>
        </w:rPr>
        <w:lastRenderedPageBreak/>
        <w:t>過剩、安全生產、債務狀況等指標的權重，防止單純以經濟</w:t>
      </w:r>
      <w:r w:rsidR="00DE1D40">
        <w:rPr>
          <w:rFonts w:hint="eastAsia"/>
        </w:rPr>
        <w:t>成長</w:t>
      </w:r>
      <w:r w:rsidRPr="00576BE6">
        <w:rPr>
          <w:rFonts w:hint="eastAsia"/>
        </w:rPr>
        <w:t>速度評定</w:t>
      </w:r>
      <w:r w:rsidRPr="00963EE9">
        <w:rPr>
          <w:rFonts w:hint="eastAsia"/>
        </w:rPr>
        <w:t>工作實績。」簡而言之，政績考核標準將由過去單一的</w:t>
      </w:r>
      <w:r w:rsidRPr="00963EE9">
        <w:t>GDP</w:t>
      </w:r>
      <w:r w:rsidRPr="00963EE9">
        <w:rPr>
          <w:rFonts w:hint="eastAsia"/>
        </w:rPr>
        <w:t>考核指標，轉為</w:t>
      </w:r>
      <w:r w:rsidRPr="00963EE9">
        <w:t>GDP</w:t>
      </w:r>
      <w:r w:rsidRPr="00963EE9">
        <w:rPr>
          <w:rFonts w:hint="eastAsia"/>
        </w:rPr>
        <w:t>主導、兼顧其他指標的多元考核。這顯然在糾正過往各地方政府盲目追求</w:t>
      </w:r>
      <w:r w:rsidRPr="00963EE9">
        <w:t>GDP</w:t>
      </w:r>
      <w:r w:rsidRPr="00963EE9">
        <w:rPr>
          <w:rFonts w:hint="eastAsia"/>
        </w:rPr>
        <w:t>數字成長而忽略背後所產生的負面影響，像是資源粗放式消耗、環境汙染嚴重、產能過剩等問題。未來透過強化考核標準，督促各級領導幹部更加重視經濟發展的深層問題。</w:t>
      </w:r>
    </w:p>
    <w:p w:rsidR="005117A1" w:rsidRDefault="00DB0C74" w:rsidP="00B3663D">
      <w:pPr>
        <w:pStyle w:val="-"/>
        <w:spacing w:before="108" w:after="108"/>
        <w:ind w:firstLine="520"/>
      </w:pPr>
      <w:r>
        <w:rPr>
          <w:rFonts w:hint="eastAsia"/>
        </w:rPr>
        <w:t>除了幹部考核機制轉變之外，其他方面也都有相關之配套措施來配合改革。舉例來說，日前中國大陸國務院修訂新版的</w:t>
      </w:r>
      <w:r w:rsidRPr="0090553E">
        <w:rPr>
          <w:rFonts w:hint="eastAsia"/>
        </w:rPr>
        <w:t>《環境保護法》</w:t>
      </w:r>
      <w:r>
        <w:rPr>
          <w:rFonts w:hint="eastAsia"/>
        </w:rPr>
        <w:t>，已於</w:t>
      </w:r>
      <w:r>
        <w:t>4</w:t>
      </w:r>
      <w:r>
        <w:rPr>
          <w:rFonts w:hint="eastAsia"/>
        </w:rPr>
        <w:t>月</w:t>
      </w:r>
      <w:r>
        <w:t>24</w:t>
      </w:r>
      <w:r>
        <w:rPr>
          <w:rFonts w:hint="eastAsia"/>
        </w:rPr>
        <w:t>日通過全國人大常委會審查，將於</w:t>
      </w:r>
      <w:r>
        <w:t>2015</w:t>
      </w:r>
      <w:r>
        <w:rPr>
          <w:rFonts w:hint="eastAsia"/>
        </w:rPr>
        <w:t>年起實施。這部號稱史上最嚴格的環保法（例如對汙染企業開罰無上限之規定等）未來將如何衝擊各地方經濟與社會發展，也將成為中國大陸經濟持續發展的新變數。</w:t>
      </w:r>
    </w:p>
    <w:p w:rsidR="00963EE9" w:rsidRPr="00963EE9" w:rsidRDefault="00DB0C74" w:rsidP="00963EE9">
      <w:pPr>
        <w:pStyle w:val="-"/>
        <w:spacing w:before="108" w:after="108"/>
        <w:ind w:firstLine="520"/>
      </w:pPr>
      <w:r w:rsidRPr="00963EE9">
        <w:rPr>
          <w:rFonts w:hint="eastAsia"/>
        </w:rPr>
        <w:t>李克強</w:t>
      </w:r>
      <w:r>
        <w:rPr>
          <w:rFonts w:hint="eastAsia"/>
        </w:rPr>
        <w:t>做為掌管經濟穩定運行的政府一把手，其於</w:t>
      </w:r>
      <w:r w:rsidRPr="00963EE9">
        <w:t>2013</w:t>
      </w:r>
      <w:r w:rsidRPr="00963EE9">
        <w:rPr>
          <w:rFonts w:hint="eastAsia"/>
        </w:rPr>
        <w:t>年</w:t>
      </w:r>
      <w:r w:rsidRPr="00963EE9">
        <w:t>7</w:t>
      </w:r>
      <w:r w:rsidRPr="00963EE9">
        <w:rPr>
          <w:rFonts w:hint="eastAsia"/>
        </w:rPr>
        <w:t>月首次明確提出「經濟運行合理區間」，經濟成長率、就業水平不滑出「下限」，物價漲幅等不超出「上限」，即所謂的</w:t>
      </w:r>
      <w:r w:rsidRPr="00963EE9">
        <w:rPr>
          <w:rFonts w:hint="eastAsia"/>
          <w:b/>
        </w:rPr>
        <w:t>「上下限」</w:t>
      </w:r>
      <w:r w:rsidRPr="00963EE9">
        <w:rPr>
          <w:rFonts w:hint="eastAsia"/>
        </w:rPr>
        <w:t>。這是配合政府轉型的一環，為新任領導上臺後頻頻釋放的重要政策訊號，要從過去政府主導市場逐漸轉為放手由市場自主運作，以減少政府權力來增加市場活力。政府則轉型為扮演管理者的角色，不直接參與市場運作，試圖</w:t>
      </w:r>
      <w:r>
        <w:rPr>
          <w:rFonts w:hint="eastAsia"/>
        </w:rPr>
        <w:t>健全</w:t>
      </w:r>
      <w:r w:rsidRPr="00963EE9">
        <w:rPr>
          <w:rFonts w:hint="eastAsia"/>
        </w:rPr>
        <w:t>政府與市場間的關係。「上下限」的概念即是讓市場有更多的自主空間，只要經濟運行於合理區間，政府都不會出手</w:t>
      </w:r>
      <w:r w:rsidR="00CC46B2">
        <w:rPr>
          <w:rFonts w:hint="eastAsia"/>
        </w:rPr>
        <w:t>干</w:t>
      </w:r>
      <w:r w:rsidRPr="00963EE9">
        <w:rPr>
          <w:rFonts w:hint="eastAsia"/>
        </w:rPr>
        <w:t>預市場，除非市場失靈滑出合理區間。</w:t>
      </w:r>
      <w:r w:rsidRPr="00963EE9">
        <w:t>2014</w:t>
      </w:r>
      <w:r w:rsidRPr="00963EE9">
        <w:rPr>
          <w:rFonts w:hint="eastAsia"/>
        </w:rPr>
        <w:t>年</w:t>
      </w:r>
      <w:r w:rsidRPr="00963EE9">
        <w:t>3</w:t>
      </w:r>
      <w:r w:rsidRPr="00963EE9">
        <w:rPr>
          <w:rFonts w:hint="eastAsia"/>
        </w:rPr>
        <w:t>月兩會期間，李克強又再次針對</w:t>
      </w:r>
      <w:r w:rsidRPr="00963EE9">
        <w:t>GDP</w:t>
      </w:r>
      <w:r w:rsidRPr="00963EE9">
        <w:rPr>
          <w:rFonts w:hint="eastAsia"/>
        </w:rPr>
        <w:t>下限進行闡述，其強調</w:t>
      </w:r>
      <w:r w:rsidRPr="00963EE9">
        <w:t>GDP</w:t>
      </w:r>
      <w:r w:rsidRPr="00963EE9">
        <w:rPr>
          <w:rFonts w:hint="eastAsia"/>
        </w:rPr>
        <w:t>成長最終目的是必須保證充分的就業，提高居民收入，不追求片面的</w:t>
      </w:r>
      <w:r w:rsidRPr="00963EE9">
        <w:t>GDP</w:t>
      </w:r>
      <w:r w:rsidRPr="00963EE9">
        <w:rPr>
          <w:rFonts w:hint="eastAsia"/>
        </w:rPr>
        <w:t>數字，而是需要貼近老百姓的</w:t>
      </w:r>
      <w:r w:rsidRPr="00963EE9">
        <w:t>GDP</w:t>
      </w:r>
      <w:r w:rsidRPr="00963EE9">
        <w:rPr>
          <w:rFonts w:hint="eastAsia"/>
        </w:rPr>
        <w:t>，提高質量效益、節能環保的</w:t>
      </w:r>
      <w:r w:rsidRPr="00963EE9">
        <w:t>GDP</w:t>
      </w:r>
      <w:r w:rsidRPr="00963EE9">
        <w:rPr>
          <w:rFonts w:hint="eastAsia"/>
        </w:rPr>
        <w:t>。並對於經濟成長</w:t>
      </w:r>
      <w:r>
        <w:rPr>
          <w:rFonts w:hint="eastAsia"/>
        </w:rPr>
        <w:t>目標訂定</w:t>
      </w:r>
      <w:r w:rsidRPr="00963EE9">
        <w:rPr>
          <w:rFonts w:hint="eastAsia"/>
        </w:rPr>
        <w:t>給予更大的彈性空間，不硬性把</w:t>
      </w:r>
      <w:r>
        <w:rPr>
          <w:rFonts w:hint="eastAsia"/>
        </w:rPr>
        <w:t>單一</w:t>
      </w:r>
      <w:r w:rsidRPr="00963EE9">
        <w:rPr>
          <w:rFonts w:hint="eastAsia"/>
        </w:rPr>
        <w:t>數字做為最低標準，只要經濟成長率落於目標值左右範圍都可被接受，即有更大彈性空間的</w:t>
      </w:r>
      <w:r w:rsidRPr="00963EE9">
        <w:rPr>
          <w:rFonts w:hint="eastAsia"/>
          <w:b/>
        </w:rPr>
        <w:t>「左右」</w:t>
      </w:r>
      <w:r w:rsidRPr="00963EE9">
        <w:rPr>
          <w:rFonts w:hint="eastAsia"/>
        </w:rPr>
        <w:t>（可左可右）。甚至在</w:t>
      </w:r>
      <w:r>
        <w:t>2014</w:t>
      </w:r>
      <w:r>
        <w:rPr>
          <w:rFonts w:hint="eastAsia"/>
        </w:rPr>
        <w:t>年</w:t>
      </w:r>
      <w:r>
        <w:t>4</w:t>
      </w:r>
      <w:r>
        <w:rPr>
          <w:rFonts w:hint="eastAsia"/>
        </w:rPr>
        <w:t>月的</w:t>
      </w:r>
      <w:r w:rsidRPr="00963EE9">
        <w:rPr>
          <w:rFonts w:hint="eastAsia"/>
        </w:rPr>
        <w:t>博鰲論壇上，李克強直接表態中國大陸已經準備好經濟成長速度未達標的情況，這</w:t>
      </w:r>
      <w:r>
        <w:rPr>
          <w:rFonts w:hint="eastAsia"/>
        </w:rPr>
        <w:t>很可能</w:t>
      </w:r>
      <w:r w:rsidRPr="00963EE9">
        <w:rPr>
          <w:rFonts w:hint="eastAsia"/>
        </w:rPr>
        <w:t>是</w:t>
      </w:r>
      <w:r>
        <w:rPr>
          <w:rFonts w:hint="eastAsia"/>
        </w:rPr>
        <w:t>為</w:t>
      </w:r>
      <w:r w:rsidRPr="00963EE9">
        <w:lastRenderedPageBreak/>
        <w:t>15</w:t>
      </w:r>
      <w:r w:rsidRPr="00963EE9">
        <w:rPr>
          <w:rFonts w:hint="eastAsia"/>
        </w:rPr>
        <w:t>年來經濟成長可能首次未達</w:t>
      </w:r>
      <w:r>
        <w:rPr>
          <w:rFonts w:hint="eastAsia"/>
        </w:rPr>
        <w:t>目</w:t>
      </w:r>
      <w:r w:rsidRPr="00963EE9">
        <w:rPr>
          <w:rFonts w:hint="eastAsia"/>
        </w:rPr>
        <w:t>標</w:t>
      </w:r>
      <w:r>
        <w:rPr>
          <w:rFonts w:hint="eastAsia"/>
        </w:rPr>
        <w:t>預先</w:t>
      </w:r>
      <w:r w:rsidRPr="00963EE9">
        <w:rPr>
          <w:rFonts w:hint="eastAsia"/>
        </w:rPr>
        <w:t>提供轉圜的餘地。</w:t>
      </w:r>
    </w:p>
    <w:p w:rsidR="00510EC9" w:rsidRDefault="00DB0C74" w:rsidP="00963EE9">
      <w:pPr>
        <w:pStyle w:val="-"/>
        <w:spacing w:before="108" w:after="108"/>
        <w:ind w:firstLine="520"/>
      </w:pPr>
      <w:r w:rsidRPr="00963EE9">
        <w:rPr>
          <w:rFonts w:hint="eastAsia"/>
        </w:rPr>
        <w:t>從習近平與李克強相繼對</w:t>
      </w:r>
      <w:r w:rsidRPr="00963EE9">
        <w:t>GDP</w:t>
      </w:r>
      <w:r w:rsidRPr="00963EE9">
        <w:rPr>
          <w:rFonts w:hint="eastAsia"/>
        </w:rPr>
        <w:t>成長闡釋相關政策理念，可以見得新一屆領導人對中國大陸經濟發展開始更加重視品質和效率，目的就是要建構一個可長遠性自主發展的健全經濟體，而非只是倚靠政府的財政和貨幣短暫性刺激政策帶動經濟成長動能。這顯示新任領導將糾正過往各級政府一</w:t>
      </w:r>
      <w:r>
        <w:rPr>
          <w:rFonts w:hint="eastAsia"/>
        </w:rPr>
        <w:t>味</w:t>
      </w:r>
      <w:r w:rsidRPr="00963EE9">
        <w:rPr>
          <w:rFonts w:hint="eastAsia"/>
        </w:rPr>
        <w:t>追求經濟成長的表面數字而忽略數字背後實質意義</w:t>
      </w:r>
      <w:r>
        <w:rPr>
          <w:rFonts w:hint="eastAsia"/>
        </w:rPr>
        <w:t>的普遍情況</w:t>
      </w:r>
      <w:r w:rsidRPr="00963EE9">
        <w:rPr>
          <w:rFonts w:hint="eastAsia"/>
        </w:rPr>
        <w:t>，試圖讓發展模式全面轉型為「重質不重量」的新境界，引領中國大陸經濟發展更上一層樓。在這樣的背景下，</w:t>
      </w:r>
      <w:r w:rsidRPr="00963EE9">
        <w:t>2014</w:t>
      </w:r>
      <w:r w:rsidRPr="00963EE9">
        <w:rPr>
          <w:rFonts w:hint="eastAsia"/>
        </w:rPr>
        <w:t>年</w:t>
      </w:r>
      <w:r w:rsidRPr="00963EE9">
        <w:t>1</w:t>
      </w:r>
      <w:r w:rsidRPr="00963EE9">
        <w:rPr>
          <w:rFonts w:hint="eastAsia"/>
        </w:rPr>
        <w:t>、</w:t>
      </w:r>
      <w:r w:rsidRPr="00963EE9">
        <w:t>2</w:t>
      </w:r>
      <w:r w:rsidRPr="00963EE9">
        <w:rPr>
          <w:rFonts w:hint="eastAsia"/>
        </w:rPr>
        <w:t>月地方兩會相繼召開，各省市相繼</w:t>
      </w:r>
      <w:r w:rsidR="007B11B8">
        <w:rPr>
          <w:rFonts w:hint="eastAsia"/>
        </w:rPr>
        <w:t>公布</w:t>
      </w:r>
      <w:r w:rsidRPr="00963EE9">
        <w:rPr>
          <w:rFonts w:hint="eastAsia"/>
        </w:rPr>
        <w:t>今年的經濟成長目標，絕大部分皆調降或持平（表</w:t>
      </w:r>
      <w:r w:rsidRPr="00963EE9">
        <w:t>2-1</w:t>
      </w:r>
      <w:r w:rsidRPr="00963EE9">
        <w:rPr>
          <w:rFonts w:hint="eastAsia"/>
        </w:rPr>
        <w:t>）。</w:t>
      </w:r>
    </w:p>
    <w:p w:rsidR="00964670" w:rsidRPr="00963EE9" w:rsidRDefault="00DB0C74" w:rsidP="00964670">
      <w:pPr>
        <w:pStyle w:val="-"/>
        <w:spacing w:before="108" w:after="108"/>
        <w:ind w:firstLine="520"/>
      </w:pPr>
      <w:r w:rsidRPr="00963EE9">
        <w:rPr>
          <w:rFonts w:hint="eastAsia"/>
        </w:rPr>
        <w:t>從</w:t>
      </w:r>
      <w:r w:rsidRPr="00963EE9">
        <w:t>2013</w:t>
      </w:r>
      <w:r w:rsidRPr="00963EE9">
        <w:rPr>
          <w:rFonts w:hint="eastAsia"/>
        </w:rPr>
        <w:t>和</w:t>
      </w:r>
      <w:r w:rsidRPr="00963EE9">
        <w:t>2014</w:t>
      </w:r>
      <w:r w:rsidRPr="00963EE9">
        <w:rPr>
          <w:rFonts w:hint="eastAsia"/>
        </w:rPr>
        <w:t>年各省市訂定的經濟成長目標來看，僅廣東調升，為連續兩年來調降後首次調升，其餘有</w:t>
      </w:r>
      <w:r w:rsidRPr="00963EE9">
        <w:t>22</w:t>
      </w:r>
      <w:r w:rsidRPr="00963EE9">
        <w:rPr>
          <w:rFonts w:hint="eastAsia"/>
        </w:rPr>
        <w:t>個省市調降和</w:t>
      </w:r>
      <w:r w:rsidRPr="00963EE9">
        <w:t>8</w:t>
      </w:r>
      <w:r w:rsidRPr="00963EE9">
        <w:rPr>
          <w:rFonts w:hint="eastAsia"/>
        </w:rPr>
        <w:t>個省市持平，其中以吉林調降</w:t>
      </w:r>
      <w:r w:rsidRPr="00963EE9">
        <w:t>4</w:t>
      </w:r>
      <w:r w:rsidRPr="00963EE9">
        <w:rPr>
          <w:rFonts w:hint="eastAsia"/>
        </w:rPr>
        <w:t>個百分點為最多，北京和上海仍為全國最低。與前兩年相比有明顯差異，</w:t>
      </w:r>
      <w:r w:rsidRPr="00963EE9">
        <w:t>2012</w:t>
      </w:r>
      <w:r w:rsidRPr="00963EE9">
        <w:rPr>
          <w:rFonts w:hint="eastAsia"/>
        </w:rPr>
        <w:t>年有</w:t>
      </w:r>
      <w:r w:rsidRPr="00963EE9">
        <w:t>8</w:t>
      </w:r>
      <w:r w:rsidRPr="00963EE9">
        <w:rPr>
          <w:rFonts w:hint="eastAsia"/>
        </w:rPr>
        <w:t>個省市調升目標，而僅</w:t>
      </w:r>
      <w:r w:rsidRPr="00963EE9">
        <w:t>6</w:t>
      </w:r>
      <w:r w:rsidRPr="00963EE9">
        <w:rPr>
          <w:rFonts w:hint="eastAsia"/>
        </w:rPr>
        <w:t>個省市調降；</w:t>
      </w:r>
      <w:r w:rsidRPr="00963EE9">
        <w:t>2013</w:t>
      </w:r>
      <w:r w:rsidRPr="00963EE9">
        <w:rPr>
          <w:rFonts w:hint="eastAsia"/>
        </w:rPr>
        <w:t>年有</w:t>
      </w:r>
      <w:r w:rsidRPr="00963EE9">
        <w:t>2</w:t>
      </w:r>
      <w:r w:rsidRPr="00963EE9">
        <w:rPr>
          <w:rFonts w:hint="eastAsia"/>
        </w:rPr>
        <w:t>個省市調高和</w:t>
      </w:r>
      <w:r w:rsidRPr="00963EE9">
        <w:t>11</w:t>
      </w:r>
      <w:r w:rsidRPr="00963EE9">
        <w:rPr>
          <w:rFonts w:hint="eastAsia"/>
        </w:rPr>
        <w:t>個省市調降，其餘大部分省市則維持不變。從</w:t>
      </w:r>
      <w:r w:rsidRPr="00963EE9">
        <w:t>2013</w:t>
      </w:r>
      <w:r w:rsidRPr="00963EE9">
        <w:rPr>
          <w:rFonts w:hint="eastAsia"/>
        </w:rPr>
        <w:t>年實際成長值和</w:t>
      </w:r>
      <w:r w:rsidRPr="00963EE9">
        <w:t>2014</w:t>
      </w:r>
      <w:r w:rsidRPr="00963EE9">
        <w:rPr>
          <w:rFonts w:hint="eastAsia"/>
        </w:rPr>
        <w:t>年目標值來看，僅黑龍江和海南兩省</w:t>
      </w:r>
      <w:r w:rsidRPr="00963EE9">
        <w:t>2014</w:t>
      </w:r>
      <w:r w:rsidRPr="00963EE9">
        <w:rPr>
          <w:rFonts w:hint="eastAsia"/>
        </w:rPr>
        <w:t>年經濟成長目標高於</w:t>
      </w:r>
      <w:r w:rsidRPr="00963EE9">
        <w:t>2013</w:t>
      </w:r>
      <w:r w:rsidRPr="00963EE9">
        <w:rPr>
          <w:rFonts w:hint="eastAsia"/>
        </w:rPr>
        <w:t>年實際成長值，其餘有</w:t>
      </w:r>
      <w:r w:rsidRPr="00963EE9">
        <w:t>23</w:t>
      </w:r>
      <w:r w:rsidRPr="00963EE9">
        <w:rPr>
          <w:rFonts w:hint="eastAsia"/>
        </w:rPr>
        <w:t>個省市調降和</w:t>
      </w:r>
      <w:r w:rsidRPr="00963EE9">
        <w:t>6</w:t>
      </w:r>
      <w:r w:rsidRPr="00963EE9">
        <w:rPr>
          <w:rFonts w:hint="eastAsia"/>
        </w:rPr>
        <w:t>個省市持平，其中以天津市成長目標調降</w:t>
      </w:r>
      <w:r w:rsidRPr="00963EE9">
        <w:t>1.5</w:t>
      </w:r>
      <w:r w:rsidRPr="00963EE9">
        <w:rPr>
          <w:rFonts w:hint="eastAsia"/>
        </w:rPr>
        <w:t>個百分點為最多。從上述可看到，在中央領導的政策理念下，各地方政府紛紛依循恪守、大力響應，比起過去</w:t>
      </w:r>
      <w:r>
        <w:rPr>
          <w:rFonts w:hint="eastAsia"/>
        </w:rPr>
        <w:t>，</w:t>
      </w:r>
      <w:r w:rsidRPr="00963EE9">
        <w:rPr>
          <w:rFonts w:hint="eastAsia"/>
        </w:rPr>
        <w:t>更多省市開始小幅調降經濟成長目標，轉為重視經濟發展</w:t>
      </w:r>
      <w:r w:rsidR="00EE24EE">
        <w:rPr>
          <w:rFonts w:hint="eastAsia"/>
        </w:rPr>
        <w:t>品質內涵</w:t>
      </w:r>
      <w:r w:rsidRPr="00963EE9">
        <w:rPr>
          <w:rFonts w:hint="eastAsia"/>
        </w:rPr>
        <w:t>與效率，積極實踐降速調結構的發展意旨。</w:t>
      </w:r>
    </w:p>
    <w:p w:rsidR="004712D1" w:rsidRPr="005323E1" w:rsidRDefault="00964670" w:rsidP="004712D1">
      <w:pPr>
        <w:pStyle w:val="a7"/>
      </w:pPr>
      <w:r>
        <w:br w:type="page"/>
      </w:r>
      <w:bookmarkStart w:id="15" w:name="_Toc405462608"/>
      <w:r w:rsidR="00DB0C74" w:rsidRPr="00625925">
        <w:rPr>
          <w:rFonts w:hint="eastAsia"/>
        </w:rPr>
        <w:lastRenderedPageBreak/>
        <w:t>表</w:t>
      </w:r>
      <w:r w:rsidR="00DB0C74" w:rsidRPr="00625925">
        <w:t>2-1</w:t>
      </w:r>
      <w:r w:rsidR="00DB0C74">
        <w:rPr>
          <w:rFonts w:hint="eastAsia"/>
        </w:rPr>
        <w:t xml:space="preserve">　</w:t>
      </w:r>
      <w:r w:rsidR="00DB0C74" w:rsidRPr="00625925">
        <w:rPr>
          <w:rFonts w:hint="eastAsia"/>
        </w:rPr>
        <w:t>中國大陸全國與各省</w:t>
      </w:r>
      <w:r w:rsidR="00DB0C74" w:rsidRPr="00625925">
        <w:t>GDP</w:t>
      </w:r>
      <w:r w:rsidR="00DB0C74" w:rsidRPr="00625925">
        <w:rPr>
          <w:rFonts w:hint="eastAsia"/>
        </w:rPr>
        <w:t>成長目標與實際值：</w:t>
      </w:r>
      <w:r w:rsidR="00DB0C74" w:rsidRPr="00625925">
        <w:t>2013-2014</w:t>
      </w:r>
      <w:r w:rsidR="0035101D">
        <w:rPr>
          <w:rFonts w:hint="eastAsia"/>
          <w:lang w:eastAsia="zh-TW"/>
        </w:rPr>
        <w:t>年</w:t>
      </w:r>
      <w:bookmarkEnd w:id="15"/>
    </w:p>
    <w:tbl>
      <w:tblPr>
        <w:tblW w:w="0" w:type="auto"/>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384"/>
        <w:gridCol w:w="1384"/>
        <w:gridCol w:w="1384"/>
        <w:gridCol w:w="1336"/>
        <w:gridCol w:w="1375"/>
      </w:tblGrid>
      <w:tr w:rsidR="004712D1" w:rsidRPr="002C7FCD" w:rsidTr="00964670">
        <w:trPr>
          <w:jc w:val="center"/>
        </w:trPr>
        <w:tc>
          <w:tcPr>
            <w:tcW w:w="1521" w:type="dxa"/>
            <w:vMerge w:val="restart"/>
            <w:shd w:val="clear" w:color="auto" w:fill="auto"/>
            <w:vAlign w:val="center"/>
          </w:tcPr>
          <w:p w:rsidR="004712D1" w:rsidRPr="002C7FCD" w:rsidRDefault="004712D1" w:rsidP="00964670">
            <w:pPr>
              <w:snapToGrid w:val="0"/>
              <w:spacing w:before="20" w:after="20"/>
              <w:jc w:val="center"/>
              <w:rPr>
                <w:rFonts w:eastAsia="標楷體"/>
                <w:sz w:val="22"/>
              </w:rPr>
            </w:pPr>
          </w:p>
          <w:p w:rsidR="004712D1" w:rsidRPr="002C7FCD" w:rsidRDefault="004712D1" w:rsidP="00964670">
            <w:pPr>
              <w:snapToGrid w:val="0"/>
              <w:spacing w:before="20" w:after="20"/>
              <w:jc w:val="center"/>
              <w:rPr>
                <w:rFonts w:eastAsia="標楷體"/>
                <w:sz w:val="22"/>
              </w:rPr>
            </w:pP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2014</w:t>
            </w:r>
          </w:p>
        </w:tc>
        <w:tc>
          <w:tcPr>
            <w:tcW w:w="2768" w:type="dxa"/>
            <w:gridSpan w:val="2"/>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2013</w:t>
            </w:r>
          </w:p>
        </w:tc>
        <w:tc>
          <w:tcPr>
            <w:tcW w:w="2711" w:type="dxa"/>
            <w:gridSpan w:val="2"/>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兩年比較</w:t>
            </w:r>
            <w:r w:rsidRPr="002C7FCD">
              <w:rPr>
                <w:rFonts w:eastAsia="標楷體"/>
                <w:sz w:val="22"/>
              </w:rPr>
              <w:t>*</w:t>
            </w:r>
          </w:p>
        </w:tc>
      </w:tr>
      <w:tr w:rsidR="004712D1" w:rsidRPr="002C7FCD" w:rsidTr="00964670">
        <w:trPr>
          <w:jc w:val="center"/>
        </w:trPr>
        <w:tc>
          <w:tcPr>
            <w:tcW w:w="1521" w:type="dxa"/>
            <w:vMerge/>
            <w:shd w:val="clear" w:color="auto" w:fill="auto"/>
            <w:vAlign w:val="center"/>
          </w:tcPr>
          <w:p w:rsidR="004712D1" w:rsidRPr="002C7FCD" w:rsidRDefault="004712D1" w:rsidP="00964670">
            <w:pPr>
              <w:snapToGrid w:val="0"/>
              <w:spacing w:before="20" w:after="20"/>
              <w:jc w:val="center"/>
              <w:rPr>
                <w:rFonts w:eastAsia="標楷體"/>
                <w:sz w:val="22"/>
              </w:rPr>
            </w:pP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目標值</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目標值</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實際值</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目標值</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實際值</w:t>
            </w:r>
          </w:p>
        </w:tc>
      </w:tr>
      <w:tr w:rsidR="004712D1" w:rsidRPr="002C7FCD" w:rsidTr="00964670">
        <w:trPr>
          <w:jc w:val="center"/>
        </w:trPr>
        <w:tc>
          <w:tcPr>
            <w:tcW w:w="1521" w:type="dxa"/>
            <w:shd w:val="clear" w:color="auto" w:fill="F2DBDB"/>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全國</w:t>
            </w:r>
          </w:p>
        </w:tc>
        <w:tc>
          <w:tcPr>
            <w:tcW w:w="1384" w:type="dxa"/>
            <w:shd w:val="clear" w:color="auto" w:fill="F2DBDB"/>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7.5</w:t>
            </w:r>
          </w:p>
        </w:tc>
        <w:tc>
          <w:tcPr>
            <w:tcW w:w="1384" w:type="dxa"/>
            <w:shd w:val="clear" w:color="auto" w:fill="F2DBDB"/>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7.5</w:t>
            </w:r>
          </w:p>
        </w:tc>
        <w:tc>
          <w:tcPr>
            <w:tcW w:w="1384" w:type="dxa"/>
            <w:shd w:val="clear" w:color="auto" w:fill="F2DBDB"/>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7.7</w:t>
            </w:r>
          </w:p>
        </w:tc>
        <w:tc>
          <w:tcPr>
            <w:tcW w:w="1336" w:type="dxa"/>
            <w:shd w:val="clear" w:color="auto" w:fill="F2DBDB"/>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c>
          <w:tcPr>
            <w:tcW w:w="1375" w:type="dxa"/>
            <w:shd w:val="clear" w:color="auto" w:fill="F2DBDB"/>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貴州</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14</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12.7</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西藏</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12.5</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天津</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12.5</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甘肅</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12.1</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陝西</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11.1</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重慶</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12.3</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雲南</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12.1</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新疆</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11.1</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青海</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福建</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湖北</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10.1</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寧夏</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湖南</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10.1</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江西</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10.1</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廣西</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10.3</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海南</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9.9</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b/>
                <w:color w:val="FF0000"/>
                <w:sz w:val="22"/>
              </w:rPr>
              <w:t>升</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安徽</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10.4</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山東</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9.6</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江蘇</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9.6</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內蒙古</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遼寧</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山西</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河南</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四川</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10</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黑龍江</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11</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b/>
                <w:color w:val="FF0000"/>
                <w:sz w:val="22"/>
              </w:rPr>
            </w:pPr>
            <w:r w:rsidRPr="002C7FCD">
              <w:rPr>
                <w:rFonts w:eastAsia="標楷體" w:hAnsi="標楷體" w:hint="eastAsia"/>
                <w:b/>
                <w:color w:val="FF0000"/>
                <w:sz w:val="22"/>
              </w:rPr>
              <w:t>升</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廣東</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8.5</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b/>
                <w:color w:val="FF0000"/>
                <w:sz w:val="22"/>
              </w:rPr>
              <w:t>升</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河北</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9</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8.5</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浙江</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8.2</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吉林</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12</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8.3</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北京</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7.5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8</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7.6</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r w:rsidR="004712D1" w:rsidRPr="002C7FCD" w:rsidTr="00964670">
        <w:trPr>
          <w:jc w:val="center"/>
        </w:trPr>
        <w:tc>
          <w:tcPr>
            <w:tcW w:w="1521"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上海</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7.5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7.5</w:t>
            </w:r>
          </w:p>
        </w:tc>
        <w:tc>
          <w:tcPr>
            <w:tcW w:w="1384"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sz w:val="22"/>
              </w:rPr>
              <w:t>7.7</w:t>
            </w:r>
          </w:p>
        </w:tc>
        <w:tc>
          <w:tcPr>
            <w:tcW w:w="1336"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持平</w:t>
            </w:r>
          </w:p>
        </w:tc>
        <w:tc>
          <w:tcPr>
            <w:tcW w:w="1375" w:type="dxa"/>
            <w:shd w:val="clear" w:color="auto" w:fill="auto"/>
            <w:vAlign w:val="center"/>
          </w:tcPr>
          <w:p w:rsidR="004712D1" w:rsidRPr="002C7FCD" w:rsidRDefault="00DB0C74" w:rsidP="00964670">
            <w:pPr>
              <w:snapToGrid w:val="0"/>
              <w:spacing w:before="20" w:after="20"/>
              <w:jc w:val="center"/>
              <w:rPr>
                <w:rFonts w:eastAsia="標楷體"/>
                <w:sz w:val="22"/>
              </w:rPr>
            </w:pPr>
            <w:r w:rsidRPr="002C7FCD">
              <w:rPr>
                <w:rFonts w:eastAsia="標楷體" w:hAnsi="標楷體" w:hint="eastAsia"/>
                <w:sz w:val="22"/>
              </w:rPr>
              <w:t>降</w:t>
            </w:r>
          </w:p>
        </w:tc>
      </w:tr>
    </w:tbl>
    <w:p w:rsidR="004712D1" w:rsidRDefault="004712D1" w:rsidP="004712D1">
      <w:pPr>
        <w:pStyle w:val="a9"/>
      </w:pPr>
      <w:r w:rsidRPr="004712D1">
        <w:rPr>
          <w:rFonts w:hint="eastAsia"/>
        </w:rPr>
        <w:t>資料來源：本研究整理。</w:t>
      </w:r>
    </w:p>
    <w:p w:rsidR="00635257" w:rsidRPr="004712D1" w:rsidRDefault="00635257" w:rsidP="003D72C6">
      <w:pPr>
        <w:pStyle w:val="a9"/>
        <w:ind w:left="200" w:hangingChars="100" w:hanging="200"/>
      </w:pPr>
      <w:r>
        <w:rPr>
          <w:rFonts w:hint="eastAsia"/>
        </w:rPr>
        <w:t xml:space="preserve">* </w:t>
      </w:r>
      <w:r>
        <w:rPr>
          <w:rFonts w:hint="eastAsia"/>
        </w:rPr>
        <w:t>兩年比較目標值是</w:t>
      </w:r>
      <w:r>
        <w:rPr>
          <w:rFonts w:hint="eastAsia"/>
        </w:rPr>
        <w:t>2014</w:t>
      </w:r>
      <w:r>
        <w:rPr>
          <w:rFonts w:hint="eastAsia"/>
        </w:rPr>
        <w:t>年目標值相對於</w:t>
      </w:r>
      <w:r>
        <w:rPr>
          <w:rFonts w:hint="eastAsia"/>
        </w:rPr>
        <w:t>2013</w:t>
      </w:r>
      <w:r>
        <w:rPr>
          <w:rFonts w:hint="eastAsia"/>
        </w:rPr>
        <w:t>年目標值而言，實際值比較是指</w:t>
      </w:r>
      <w:r>
        <w:rPr>
          <w:rFonts w:hint="eastAsia"/>
        </w:rPr>
        <w:t>2014</w:t>
      </w:r>
      <w:r>
        <w:rPr>
          <w:rFonts w:hint="eastAsia"/>
        </w:rPr>
        <w:t>年目標值相對於</w:t>
      </w:r>
      <w:r>
        <w:rPr>
          <w:rFonts w:hint="eastAsia"/>
        </w:rPr>
        <w:t>2013</w:t>
      </w:r>
      <w:r>
        <w:rPr>
          <w:rFonts w:hint="eastAsia"/>
        </w:rPr>
        <w:t>年實際值而言。</w:t>
      </w:r>
    </w:p>
    <w:p w:rsidR="00963EE9" w:rsidRPr="00963EE9" w:rsidRDefault="00964670" w:rsidP="00963EE9">
      <w:pPr>
        <w:pStyle w:val="-"/>
        <w:spacing w:before="108" w:after="108"/>
        <w:ind w:firstLine="520"/>
      </w:pPr>
      <w:r>
        <w:br w:type="page"/>
      </w:r>
      <w:r w:rsidR="00DB0C74" w:rsidRPr="00963EE9">
        <w:rPr>
          <w:rFonts w:hint="eastAsia"/>
        </w:rPr>
        <w:lastRenderedPageBreak/>
        <w:t>緊接著今（</w:t>
      </w:r>
      <w:r w:rsidR="00DB0C74" w:rsidRPr="00963EE9">
        <w:t>2014</w:t>
      </w:r>
      <w:r w:rsidR="00DB0C74" w:rsidRPr="00963EE9">
        <w:rPr>
          <w:rFonts w:hint="eastAsia"/>
        </w:rPr>
        <w:t>）年</w:t>
      </w:r>
      <w:r w:rsidR="00DB0C74" w:rsidRPr="00963EE9">
        <w:t>3</w:t>
      </w:r>
      <w:r w:rsidR="00DB0C74" w:rsidRPr="00963EE9">
        <w:rPr>
          <w:rFonts w:hint="eastAsia"/>
        </w:rPr>
        <w:t>月全國兩會公</w:t>
      </w:r>
      <w:r w:rsidR="007B11B8">
        <w:rPr>
          <w:rFonts w:hint="eastAsia"/>
        </w:rPr>
        <w:t>布</w:t>
      </w:r>
      <w:r w:rsidR="00DB0C74" w:rsidRPr="00963EE9">
        <w:rPr>
          <w:rFonts w:hint="eastAsia"/>
        </w:rPr>
        <w:t>全國經濟成長目標為</w:t>
      </w:r>
      <w:r w:rsidR="00DB0C74" w:rsidRPr="00963EE9">
        <w:t>7.5%</w:t>
      </w:r>
      <w:r w:rsidR="00DB0C74" w:rsidRPr="00963EE9">
        <w:rPr>
          <w:rFonts w:hint="eastAsia"/>
        </w:rPr>
        <w:t>，與去年目標相同，較去年實際成長值調降</w:t>
      </w:r>
      <w:r w:rsidR="00DB0C74" w:rsidRPr="00963EE9">
        <w:t>0.2</w:t>
      </w:r>
      <w:r w:rsidR="00DB0C74" w:rsidRPr="00963EE9">
        <w:rPr>
          <w:rFonts w:hint="eastAsia"/>
        </w:rPr>
        <w:t>個百分點。李克強在兩會閉幕記者會提出：「既要穩增長、保就業，又要防通膨、控風險，還要提質增效、治理汙染，多重目標的實現需要找一個合理的平衡點，這可以說是高難度的動作。」顯示新任領導當然重視提高居民收入和節能環保等深層結構問題，讓中國大陸經濟發展能夠行穩致遠才是首要工作。</w:t>
      </w:r>
    </w:p>
    <w:p w:rsidR="00963EE9" w:rsidRPr="00963EE9" w:rsidRDefault="00DB0C74" w:rsidP="00963EE9">
      <w:pPr>
        <w:pStyle w:val="-"/>
        <w:spacing w:before="108" w:after="108"/>
        <w:ind w:firstLine="520"/>
      </w:pPr>
      <w:r w:rsidRPr="00963EE9">
        <w:rPr>
          <w:rFonts w:hint="eastAsia"/>
        </w:rPr>
        <w:t>李克強在政府工作報告中提到：「加強對增長、就業、物價、國際收支等主要目標的統籌平衡」，從其論述的重點可知前三項最為重要。這顯示中國大陸從過去只關注單一成長目標（</w:t>
      </w:r>
      <w:r w:rsidRPr="00963EE9">
        <w:t>GDP</w:t>
      </w:r>
      <w:r w:rsidRPr="00963EE9">
        <w:rPr>
          <w:rFonts w:hint="eastAsia"/>
        </w:rPr>
        <w:t>），現在轉變為同時注重三大總體經濟目標（就業、物價、</w:t>
      </w:r>
      <w:r w:rsidRPr="00963EE9">
        <w:t>GDP</w:t>
      </w:r>
      <w:r w:rsidRPr="00963EE9">
        <w:rPr>
          <w:rFonts w:hint="eastAsia"/>
        </w:rPr>
        <w:t>），簡而言之，就是</w:t>
      </w:r>
      <w:r w:rsidRPr="00963EE9">
        <w:rPr>
          <w:rFonts w:hint="eastAsia"/>
          <w:b/>
        </w:rPr>
        <w:t>從單一發展目標轉為多重發展目標</w:t>
      </w:r>
      <w:r w:rsidRPr="00963EE9">
        <w:rPr>
          <w:rFonts w:hint="eastAsia"/>
        </w:rPr>
        <w:t>。至於各大目標比重如何分配尚未有定論，</w:t>
      </w:r>
      <w:r>
        <w:rPr>
          <w:rFonts w:hint="eastAsia"/>
        </w:rPr>
        <w:t>或許也難有定論，但我們仍可以對其進行初步分析。</w:t>
      </w:r>
    </w:p>
    <w:p w:rsidR="00963EE9" w:rsidRPr="00963EE9" w:rsidRDefault="00DB0C74" w:rsidP="0055436D">
      <w:pPr>
        <w:pStyle w:val="-"/>
        <w:spacing w:before="108" w:after="108"/>
        <w:ind w:firstLine="520"/>
      </w:pPr>
      <w:r w:rsidRPr="00963EE9">
        <w:rPr>
          <w:rFonts w:hint="eastAsia"/>
        </w:rPr>
        <w:t>觀察</w:t>
      </w:r>
      <w:r w:rsidRPr="00963EE9">
        <w:t>2013-2014</w:t>
      </w:r>
      <w:r w:rsidRPr="00963EE9">
        <w:rPr>
          <w:rFonts w:hint="eastAsia"/>
        </w:rPr>
        <w:t>年習近平與李克強上任以來</w:t>
      </w:r>
      <w:r w:rsidRPr="00963EE9">
        <w:t>GDP</w:t>
      </w:r>
      <w:r w:rsidRPr="00963EE9">
        <w:rPr>
          <w:rFonts w:hint="eastAsia"/>
        </w:rPr>
        <w:t>、消費者物價指數和就業的變化，</w:t>
      </w:r>
      <w:r w:rsidRPr="000E6B8A">
        <w:rPr>
          <w:rFonts w:hint="eastAsia"/>
        </w:rPr>
        <w:t>在</w:t>
      </w:r>
      <w:r w:rsidRPr="000E6B8A">
        <w:t>GDP</w:t>
      </w:r>
      <w:r w:rsidRPr="000E6B8A">
        <w:rPr>
          <w:rFonts w:hint="eastAsia"/>
        </w:rPr>
        <w:t>方面，</w:t>
      </w:r>
      <w:r w:rsidRPr="000E6B8A">
        <w:t>2014</w:t>
      </w:r>
      <w:r w:rsidRPr="000E6B8A">
        <w:rPr>
          <w:rFonts w:hint="eastAsia"/>
        </w:rPr>
        <w:t>年第一季</w:t>
      </w:r>
      <w:r w:rsidRPr="000E6B8A">
        <w:t>GDP</w:t>
      </w:r>
      <w:r w:rsidRPr="000E6B8A">
        <w:rPr>
          <w:rFonts w:hint="eastAsia"/>
        </w:rPr>
        <w:t>成長率明顯較</w:t>
      </w:r>
      <w:r w:rsidRPr="000E6B8A">
        <w:t>2013</w:t>
      </w:r>
      <w:r w:rsidRPr="000E6B8A">
        <w:rPr>
          <w:rFonts w:hint="eastAsia"/>
        </w:rPr>
        <w:t>年第四季下滑，由</w:t>
      </w:r>
      <w:r w:rsidRPr="000E6B8A">
        <w:t>7.7%</w:t>
      </w:r>
      <w:r w:rsidRPr="000E6B8A">
        <w:rPr>
          <w:rFonts w:hint="eastAsia"/>
        </w:rPr>
        <w:t>跌落</w:t>
      </w:r>
      <w:r w:rsidRPr="000E6B8A">
        <w:t>0.3%</w:t>
      </w:r>
      <w:r w:rsidRPr="000E6B8A">
        <w:rPr>
          <w:rFonts w:hint="eastAsia"/>
        </w:rPr>
        <w:t>至</w:t>
      </w:r>
      <w:r w:rsidRPr="000E6B8A">
        <w:t>7.4%</w:t>
      </w:r>
      <w:r w:rsidRPr="000E6B8A">
        <w:rPr>
          <w:rFonts w:hint="eastAsia"/>
        </w:rPr>
        <w:t>，首次低於目標值</w:t>
      </w:r>
      <w:r w:rsidRPr="000E6B8A">
        <w:t>7.5%</w:t>
      </w:r>
      <w:r w:rsidRPr="000E6B8A">
        <w:rPr>
          <w:rFonts w:hint="eastAsia"/>
        </w:rPr>
        <w:t>，第二季與目標值持平，第三季下滑至</w:t>
      </w:r>
      <w:r w:rsidRPr="000E6B8A">
        <w:t>7.3%</w:t>
      </w:r>
      <w:r w:rsidRPr="000E6B8A">
        <w:rPr>
          <w:rFonts w:hint="eastAsia"/>
        </w:rPr>
        <w:t>，再創新低（圖</w:t>
      </w:r>
      <w:r w:rsidRPr="000E6B8A">
        <w:t>2-1</w:t>
      </w:r>
      <w:r w:rsidRPr="000E6B8A">
        <w:rPr>
          <w:rFonts w:hint="eastAsia"/>
        </w:rPr>
        <w:t>）。</w:t>
      </w:r>
      <w:r w:rsidRPr="0055436D">
        <w:rPr>
          <w:rFonts w:hint="eastAsia"/>
        </w:rPr>
        <w:t>中國大陸官方表示，除了因為全球經濟復甦疲軟和外部環境影響外，也是政府主動調控的結果，明確地說明中國大陸寧願將經濟成長速度放緩，也要追求綠色發展和永續發展。</w:t>
      </w:r>
    </w:p>
    <w:p w:rsidR="00963EE9" w:rsidRDefault="00796180" w:rsidP="00FA12C9">
      <w:pPr>
        <w:pStyle w:val="-"/>
        <w:spacing w:beforeLines="0" w:before="0" w:afterLines="0" w:after="0" w:line="240" w:lineRule="auto"/>
        <w:ind w:leftChars="-59" w:left="-2" w:hangingChars="54" w:hanging="140"/>
        <w:jc w:val="center"/>
      </w:pPr>
      <w:r>
        <w:rPr>
          <w:noProof/>
        </w:rPr>
        <w:lastRenderedPageBreak/>
        <w:drawing>
          <wp:inline distT="0" distB="0" distL="0" distR="0">
            <wp:extent cx="5157470" cy="3383280"/>
            <wp:effectExtent l="0" t="0" r="5080" b="7620"/>
            <wp:docPr id="2" name="圖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3EE9" w:rsidRDefault="00963EE9" w:rsidP="00963EE9">
      <w:pPr>
        <w:pStyle w:val="a9"/>
      </w:pPr>
      <w:r w:rsidRPr="002367F7">
        <w:rPr>
          <w:rFonts w:hint="eastAsia"/>
        </w:rPr>
        <w:t>資料來源：</w:t>
      </w:r>
      <w:r w:rsidR="00CC46B2">
        <w:rPr>
          <w:rFonts w:hint="eastAsia"/>
          <w:lang w:eastAsia="zh-TW"/>
        </w:rPr>
        <w:t>中國大陸國家統計局</w:t>
      </w:r>
      <w:r w:rsidRPr="002367F7">
        <w:rPr>
          <w:rFonts w:hint="eastAsia"/>
        </w:rPr>
        <w:t>、本研究繪製。</w:t>
      </w:r>
    </w:p>
    <w:p w:rsidR="00963EE9" w:rsidRPr="00625925" w:rsidRDefault="00DB0C74" w:rsidP="0095677D">
      <w:pPr>
        <w:pStyle w:val="af0"/>
      </w:pPr>
      <w:bookmarkStart w:id="16" w:name="_Toc388271417"/>
      <w:bookmarkStart w:id="17" w:name="_Toc405462616"/>
      <w:r w:rsidRPr="002367F7">
        <w:rPr>
          <w:rFonts w:hint="eastAsia"/>
        </w:rPr>
        <w:t>圖</w:t>
      </w:r>
      <w:r w:rsidRPr="002367F7">
        <w:t>2-1</w:t>
      </w:r>
      <w:r w:rsidRPr="002367F7">
        <w:rPr>
          <w:rFonts w:hint="eastAsia"/>
        </w:rPr>
        <w:t xml:space="preserve">　中國大陸每季</w:t>
      </w:r>
      <w:r w:rsidRPr="002367F7">
        <w:t>GDP</w:t>
      </w:r>
      <w:r w:rsidRPr="002367F7">
        <w:rPr>
          <w:rFonts w:hint="eastAsia"/>
        </w:rPr>
        <w:t>及其成長率：</w:t>
      </w:r>
      <w:bookmarkEnd w:id="16"/>
      <w:r w:rsidRPr="002367F7">
        <w:t>2013-2014/9</w:t>
      </w:r>
      <w:r w:rsidR="00B40192">
        <w:rPr>
          <w:rFonts w:hint="eastAsia"/>
          <w:lang w:eastAsia="zh-TW"/>
        </w:rPr>
        <w:t>月</w:t>
      </w:r>
      <w:bookmarkEnd w:id="17"/>
    </w:p>
    <w:p w:rsidR="00963EE9" w:rsidRDefault="00DB0C74" w:rsidP="00963EE9">
      <w:pPr>
        <w:pStyle w:val="-"/>
        <w:spacing w:before="108" w:after="108"/>
        <w:ind w:firstLine="520"/>
      </w:pPr>
      <w:r w:rsidRPr="00963EE9">
        <w:rPr>
          <w:rFonts w:hint="eastAsia"/>
        </w:rPr>
        <w:t>在此</w:t>
      </w:r>
      <w:r>
        <w:rPr>
          <w:rFonts w:hint="eastAsia"/>
        </w:rPr>
        <w:t>之</w:t>
      </w:r>
      <w:r w:rsidRPr="00963EE9">
        <w:rPr>
          <w:rFonts w:hint="eastAsia"/>
        </w:rPr>
        <w:t>前，受到降速調結構的政策主調影響，今（</w:t>
      </w:r>
      <w:r w:rsidRPr="00963EE9">
        <w:t>2014</w:t>
      </w:r>
      <w:r w:rsidRPr="00963EE9">
        <w:rPr>
          <w:rFonts w:hint="eastAsia"/>
        </w:rPr>
        <w:t>）年前</w:t>
      </w:r>
      <w:r w:rsidRPr="00963EE9">
        <w:t>2</w:t>
      </w:r>
      <w:r w:rsidRPr="00963EE9">
        <w:rPr>
          <w:rFonts w:hint="eastAsia"/>
        </w:rPr>
        <w:t>個月多項經濟指標表現遜色，國際投資銀行紛紛下修對中國大陸</w:t>
      </w:r>
      <w:r w:rsidRPr="00963EE9">
        <w:t>2014</w:t>
      </w:r>
      <w:r w:rsidRPr="00963EE9">
        <w:rPr>
          <w:rFonts w:hint="eastAsia"/>
        </w:rPr>
        <w:t>年</w:t>
      </w:r>
      <w:r w:rsidRPr="00963EE9">
        <w:t>GDP</w:t>
      </w:r>
      <w:r w:rsidRPr="00963EE9">
        <w:rPr>
          <w:rFonts w:hint="eastAsia"/>
        </w:rPr>
        <w:t>成長率預期，各界對於</w:t>
      </w:r>
      <w:r>
        <w:rPr>
          <w:rFonts w:hint="eastAsia"/>
        </w:rPr>
        <w:t>中國大陸</w:t>
      </w:r>
      <w:r w:rsidRPr="00963EE9">
        <w:rPr>
          <w:rFonts w:hint="eastAsia"/>
        </w:rPr>
        <w:t>政府是否出面調控議論紛紛。中國大陸高階經濟官員對此也釋放出政策訊號，李克強表態</w:t>
      </w:r>
      <w:r>
        <w:rPr>
          <w:rFonts w:hint="eastAsia"/>
        </w:rPr>
        <w:t>中國大陸</w:t>
      </w:r>
      <w:r w:rsidRPr="00963EE9">
        <w:rPr>
          <w:rFonts w:hint="eastAsia"/>
        </w:rPr>
        <w:t>政府不會再像過去一看到疲軟的跡象，就倉促推出刺激政策來提振經濟。</w:t>
      </w:r>
      <w:r w:rsidRPr="009914DE">
        <w:rPr>
          <w:rFonts w:hint="eastAsia"/>
        </w:rPr>
        <w:t>中國大陸</w:t>
      </w:r>
      <w:r w:rsidRPr="00963EE9">
        <w:rPr>
          <w:rFonts w:hint="eastAsia"/>
        </w:rPr>
        <w:t>財政部副部長朱光耀暗示中國大陸將決定忍受短期陣痛來推進改革，將經濟結構調整視為首要任務。這些政策訊號都明確的顯示中國大陸將持續推進改革，並擺脫過去不允許經濟成長放緩的思維。然而在經濟結構轉骨的同時，如何在刺激經濟和繼續推進改革之間取得平衡，對新任領導人而言是一項相當大的考驗。</w:t>
      </w:r>
    </w:p>
    <w:p w:rsidR="002D16B3" w:rsidRPr="00963EE9" w:rsidRDefault="00DB0C74" w:rsidP="002D16B3">
      <w:pPr>
        <w:pStyle w:val="-"/>
        <w:spacing w:before="108" w:after="108"/>
        <w:ind w:firstLine="520"/>
      </w:pPr>
      <w:r>
        <w:rPr>
          <w:rFonts w:hint="eastAsia"/>
        </w:rPr>
        <w:t>當然，不進行大規模的經濟刺激政策並不代表政府停止管控市場，就像是李克強提出的</w:t>
      </w:r>
      <w:r w:rsidRPr="002D16B3">
        <w:rPr>
          <w:rFonts w:hint="eastAsia"/>
        </w:rPr>
        <w:t>「微刺激」（</w:t>
      </w:r>
      <w:r w:rsidRPr="002D16B3">
        <w:t>mini stimulus</w:t>
      </w:r>
      <w:r w:rsidRPr="002D16B3">
        <w:rPr>
          <w:rFonts w:hint="eastAsia"/>
        </w:rPr>
        <w:t>）提振經濟方案</w:t>
      </w:r>
      <w:r>
        <w:rPr>
          <w:rFonts w:hint="eastAsia"/>
        </w:rPr>
        <w:t>，包括</w:t>
      </w:r>
      <w:r w:rsidRPr="002D16B3">
        <w:rPr>
          <w:rFonts w:hint="eastAsia"/>
        </w:rPr>
        <w:t>免徵營業稅及增值稅</w:t>
      </w:r>
      <w:r>
        <w:rPr>
          <w:rFonts w:hint="eastAsia"/>
        </w:rPr>
        <w:t>、</w:t>
      </w:r>
      <w:r w:rsidRPr="002D16B3">
        <w:rPr>
          <w:rFonts w:hint="eastAsia"/>
        </w:rPr>
        <w:t>減輕出口企業的成本負擔</w:t>
      </w:r>
      <w:r>
        <w:rPr>
          <w:rFonts w:hint="eastAsia"/>
        </w:rPr>
        <w:t>、</w:t>
      </w:r>
      <w:r w:rsidRPr="002D16B3">
        <w:rPr>
          <w:rFonts w:hint="eastAsia"/>
        </w:rPr>
        <w:t>加快中西部鐵路建設等</w:t>
      </w:r>
      <w:r>
        <w:rPr>
          <w:rFonts w:hint="eastAsia"/>
        </w:rPr>
        <w:t>等方案，</w:t>
      </w:r>
      <w:r>
        <w:rPr>
          <w:rFonts w:hint="eastAsia"/>
        </w:rPr>
        <w:lastRenderedPageBreak/>
        <w:t>都還是政府可能採行的手段，只是這些手段規模更小，且帶有改革色彩，融資方式也可能改利用發行債券而非擴張地方政府借貸。如此對於財政擴張手段的謹慎一般認為是對於</w:t>
      </w:r>
      <w:r>
        <w:t>2008</w:t>
      </w:r>
      <w:r>
        <w:rPr>
          <w:rFonts w:hint="eastAsia"/>
        </w:rPr>
        <w:t>年溫家寶政府</w:t>
      </w:r>
      <w:r>
        <w:t>4</w:t>
      </w:r>
      <w:r>
        <w:rPr>
          <w:rFonts w:hint="eastAsia"/>
        </w:rPr>
        <w:t>兆擴內需政策的一種反思，但亦有學者（如上海復旦大學的張軍教授等）認為收縮政府投資將對於長期成長不利，而擴大內需消費政策是錯誤的方向。</w:t>
      </w:r>
    </w:p>
    <w:p w:rsidR="00963EE9" w:rsidRPr="00963EE9" w:rsidRDefault="00DB0C74" w:rsidP="00963EE9">
      <w:pPr>
        <w:pStyle w:val="-"/>
        <w:spacing w:before="108" w:after="108"/>
        <w:ind w:firstLine="520"/>
      </w:pPr>
      <w:r w:rsidRPr="00963EE9">
        <w:rPr>
          <w:rFonts w:hint="eastAsia"/>
        </w:rPr>
        <w:t>此外，</w:t>
      </w:r>
      <w:r w:rsidR="00CC46B2">
        <w:rPr>
          <w:rFonts w:hint="eastAsia"/>
        </w:rPr>
        <w:t>中國大陸國家統計局</w:t>
      </w:r>
      <w:r w:rsidR="00CC46B2">
        <w:rPr>
          <w:rFonts w:hint="eastAsia"/>
        </w:rPr>
        <w:t>4</w:t>
      </w:r>
      <w:r w:rsidRPr="00963EE9">
        <w:rPr>
          <w:rFonts w:hint="eastAsia"/>
        </w:rPr>
        <w:t>月時表示將嚴審地方</w:t>
      </w:r>
      <w:r w:rsidRPr="00963EE9">
        <w:t>GDP</w:t>
      </w:r>
      <w:r w:rsidRPr="00963EE9">
        <w:rPr>
          <w:rFonts w:hint="eastAsia"/>
        </w:rPr>
        <w:t>，中國大陸中央將對地方</w:t>
      </w:r>
      <w:r w:rsidRPr="00963EE9">
        <w:t>GDP</w:t>
      </w:r>
      <w:r w:rsidRPr="00963EE9">
        <w:rPr>
          <w:rFonts w:hint="eastAsia"/>
        </w:rPr>
        <w:t>數據加強審查，依據各地用電量、全社會貨運量和財政收入等數據來評估是否有灌水。若有灌水的情況，將會大砍地方</w:t>
      </w:r>
      <w:r w:rsidRPr="00963EE9">
        <w:t>GDP</w:t>
      </w:r>
      <w:r w:rsidRPr="00963EE9">
        <w:rPr>
          <w:rFonts w:hint="eastAsia"/>
        </w:rPr>
        <w:t>數字。可以見得中央政府不以</w:t>
      </w:r>
      <w:r w:rsidRPr="00963EE9">
        <w:t>GDP</w:t>
      </w:r>
      <w:r w:rsidRPr="00963EE9">
        <w:rPr>
          <w:rFonts w:hint="eastAsia"/>
        </w:rPr>
        <w:t>做為唯一目標的決心，並不斷向地方政府強調此政策訊號。</w:t>
      </w:r>
    </w:p>
    <w:p w:rsidR="00963EE9" w:rsidRDefault="00DB0C74" w:rsidP="00963EE9">
      <w:pPr>
        <w:pStyle w:val="-"/>
        <w:spacing w:before="108" w:after="108"/>
        <w:ind w:firstLine="520"/>
      </w:pPr>
      <w:r w:rsidRPr="00963EE9">
        <w:rPr>
          <w:rFonts w:hint="eastAsia"/>
        </w:rPr>
        <w:t>李克強對於經濟運行在合理區間的「上限」是防止通貨膨脹，在消費者物價指數方面，</w:t>
      </w:r>
      <w:r w:rsidRPr="00101DD2">
        <w:t>2013</w:t>
      </w:r>
      <w:r w:rsidRPr="00101DD2">
        <w:rPr>
          <w:rFonts w:hint="eastAsia"/>
        </w:rPr>
        <w:t>年</w:t>
      </w:r>
      <w:r w:rsidRPr="00101DD2">
        <w:t>9</w:t>
      </w:r>
      <w:r w:rsidRPr="00101DD2">
        <w:rPr>
          <w:rFonts w:hint="eastAsia"/>
        </w:rPr>
        <w:t>月到</w:t>
      </w:r>
      <w:r w:rsidRPr="00101DD2">
        <w:t>2014</w:t>
      </w:r>
      <w:r w:rsidRPr="00101DD2">
        <w:rPr>
          <w:rFonts w:hint="eastAsia"/>
        </w:rPr>
        <w:t>年</w:t>
      </w:r>
      <w:r w:rsidRPr="00101DD2">
        <w:t>9</w:t>
      </w:r>
      <w:r w:rsidRPr="00101DD2">
        <w:rPr>
          <w:rFonts w:hint="eastAsia"/>
        </w:rPr>
        <w:t>月期間消費者物價指數呈現穩定波動，每個月漲跌幅都落在上下</w:t>
      </w:r>
      <w:r w:rsidRPr="00101DD2">
        <w:t>1</w:t>
      </w:r>
      <w:r w:rsidRPr="00101DD2">
        <w:rPr>
          <w:rFonts w:hint="eastAsia"/>
        </w:rPr>
        <w:t>個百分點以內（如圖</w:t>
      </w:r>
      <w:r w:rsidRPr="00101DD2">
        <w:t>2-2</w:t>
      </w:r>
      <w:r w:rsidRPr="00101DD2">
        <w:rPr>
          <w:rFonts w:hint="eastAsia"/>
        </w:rPr>
        <w:t>）。</w:t>
      </w:r>
      <w:r w:rsidRPr="00963EE9">
        <w:rPr>
          <w:rFonts w:hint="eastAsia"/>
        </w:rPr>
        <w:t>李克強在</w:t>
      </w:r>
      <w:r w:rsidRPr="00963EE9">
        <w:t>2014</w:t>
      </w:r>
      <w:r w:rsidRPr="00963EE9">
        <w:rPr>
          <w:rFonts w:hint="eastAsia"/>
        </w:rPr>
        <w:t>年全國兩會政府工作報告提到四大經濟主要目標，除了經濟成長外還對消費者物價指數加以說明，預期將消費者物價指數控制在</w:t>
      </w:r>
      <w:r w:rsidRPr="00963EE9">
        <w:t>3.5%</w:t>
      </w:r>
      <w:r w:rsidRPr="00963EE9">
        <w:rPr>
          <w:rFonts w:hint="eastAsia"/>
        </w:rPr>
        <w:t>以內，抑制通貨膨脹、保障民生，避免對人民生活造成大的影響。對照實際狀況來看，</w:t>
      </w:r>
      <w:r w:rsidRPr="00101DD2">
        <w:t>2014</w:t>
      </w:r>
      <w:r w:rsidRPr="00101DD2">
        <w:rPr>
          <w:rFonts w:hint="eastAsia"/>
        </w:rPr>
        <w:t>年</w:t>
      </w:r>
      <w:r w:rsidRPr="00101DD2">
        <w:t>1-9</w:t>
      </w:r>
      <w:r w:rsidRPr="00101DD2">
        <w:rPr>
          <w:rFonts w:hint="eastAsia"/>
        </w:rPr>
        <w:t>月消費者物價各月漲跌幅落在</w:t>
      </w:r>
      <w:r w:rsidRPr="00101DD2">
        <w:t>1.6-2.5%</w:t>
      </w:r>
      <w:r w:rsidRPr="00101DD2">
        <w:rPr>
          <w:rFonts w:hint="eastAsia"/>
        </w:rPr>
        <w:t>之間，物價水準相當穩定，預期未來仍可保持溫和上漲趨勢。由</w:t>
      </w:r>
      <w:r w:rsidRPr="00963EE9">
        <w:rPr>
          <w:rFonts w:hint="eastAsia"/>
        </w:rPr>
        <w:t>於物價的波動直接關係到民生物資，新任領導人進行改革的同時也相當關注物價的穩定，避免通貨膨脹過於快速。</w:t>
      </w:r>
    </w:p>
    <w:p w:rsidR="00FA12C9" w:rsidRPr="00963EE9" w:rsidRDefault="00DB0C74" w:rsidP="00FA12C9">
      <w:pPr>
        <w:pStyle w:val="-"/>
        <w:spacing w:before="108" w:after="108"/>
        <w:ind w:firstLine="520"/>
      </w:pPr>
      <w:r w:rsidRPr="00963EE9">
        <w:rPr>
          <w:rFonts w:hint="eastAsia"/>
        </w:rPr>
        <w:t>合理區間的「下限」是穩增長和保就業，習李時代從過去「保增長」轉為「穩增長和保就業」，就業儼然成為中國大陸衡量經濟狀況的一個新標準，且具有相當重要的份量。在就業數據方面，中國大陸</w:t>
      </w:r>
      <w:r>
        <w:rPr>
          <w:rFonts w:hint="eastAsia"/>
        </w:rPr>
        <w:t>正式</w:t>
      </w:r>
      <w:r w:rsidR="007B11B8">
        <w:rPr>
          <w:rFonts w:hint="eastAsia"/>
        </w:rPr>
        <w:t>公布</w:t>
      </w:r>
      <w:r>
        <w:rPr>
          <w:rFonts w:hint="eastAsia"/>
        </w:rPr>
        <w:t>的</w:t>
      </w:r>
      <w:r w:rsidRPr="00963EE9">
        <w:rPr>
          <w:rFonts w:hint="eastAsia"/>
        </w:rPr>
        <w:t>失業率</w:t>
      </w:r>
      <w:r>
        <w:rPr>
          <w:rFonts w:hint="eastAsia"/>
        </w:rPr>
        <w:t>是屬於「城鎮登記失業率」，</w:t>
      </w:r>
      <w:r w:rsidRPr="00963EE9">
        <w:rPr>
          <w:rFonts w:hint="eastAsia"/>
        </w:rPr>
        <w:t>從改革開放</w:t>
      </w:r>
      <w:r w:rsidRPr="00963EE9">
        <w:t>35</w:t>
      </w:r>
      <w:r w:rsidRPr="00963EE9">
        <w:rPr>
          <w:rFonts w:hint="eastAsia"/>
        </w:rPr>
        <w:t>年來一直都維持在</w:t>
      </w:r>
      <w:r w:rsidRPr="00963EE9">
        <w:t>4%</w:t>
      </w:r>
      <w:r>
        <w:rPr>
          <w:rFonts w:hint="eastAsia"/>
        </w:rPr>
        <w:t>左右的水準，</w:t>
      </w:r>
      <w:r w:rsidRPr="00963EE9">
        <w:rPr>
          <w:rFonts w:hint="eastAsia"/>
        </w:rPr>
        <w:t>此數據</w:t>
      </w:r>
      <w:r>
        <w:rPr>
          <w:rFonts w:hint="eastAsia"/>
        </w:rPr>
        <w:t>無法代表真實的失業率</w:t>
      </w:r>
      <w:r w:rsidRPr="00963EE9">
        <w:rPr>
          <w:rFonts w:hint="eastAsia"/>
        </w:rPr>
        <w:t>，</w:t>
      </w:r>
      <w:r>
        <w:rPr>
          <w:rFonts w:hint="eastAsia"/>
        </w:rPr>
        <w:t>故</w:t>
      </w:r>
      <w:r w:rsidRPr="00963EE9">
        <w:rPr>
          <w:rFonts w:hint="eastAsia"/>
        </w:rPr>
        <w:t>在此</w:t>
      </w:r>
      <w:r>
        <w:rPr>
          <w:rFonts w:hint="eastAsia"/>
        </w:rPr>
        <w:t>無法</w:t>
      </w:r>
      <w:r w:rsidRPr="00963EE9">
        <w:rPr>
          <w:rFonts w:hint="eastAsia"/>
        </w:rPr>
        <w:t>圖表來呈現目前情況。</w:t>
      </w:r>
    </w:p>
    <w:p w:rsidR="00FA12C9" w:rsidRPr="00FA12C9" w:rsidRDefault="00FA12C9" w:rsidP="0022280B">
      <w:pPr>
        <w:pStyle w:val="-"/>
        <w:spacing w:before="108" w:after="108"/>
        <w:ind w:firstLineChars="0" w:firstLine="0"/>
      </w:pPr>
    </w:p>
    <w:p w:rsidR="00963EE9" w:rsidRDefault="00796180" w:rsidP="00963EE9">
      <w:pPr>
        <w:pStyle w:val="-"/>
        <w:spacing w:beforeLines="0" w:before="0" w:afterLines="0" w:after="0" w:line="240" w:lineRule="auto"/>
        <w:ind w:firstLineChars="0" w:firstLine="0"/>
        <w:jc w:val="center"/>
      </w:pPr>
      <w:r>
        <w:rPr>
          <w:noProof/>
        </w:rPr>
        <w:drawing>
          <wp:inline distT="0" distB="0" distL="0" distR="0">
            <wp:extent cx="5295265" cy="2825115"/>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265" cy="2825115"/>
                    </a:xfrm>
                    <a:prstGeom prst="rect">
                      <a:avLst/>
                    </a:prstGeom>
                    <a:noFill/>
                    <a:ln>
                      <a:noFill/>
                    </a:ln>
                  </pic:spPr>
                </pic:pic>
              </a:graphicData>
            </a:graphic>
          </wp:inline>
        </w:drawing>
      </w:r>
    </w:p>
    <w:p w:rsidR="00963EE9" w:rsidRPr="00963EE9" w:rsidRDefault="00963EE9" w:rsidP="00963EE9">
      <w:pPr>
        <w:pStyle w:val="a9"/>
      </w:pPr>
      <w:r w:rsidRPr="00101DD2">
        <w:rPr>
          <w:rFonts w:hint="eastAsia"/>
        </w:rPr>
        <w:t>資料來源：</w:t>
      </w:r>
      <w:r w:rsidR="00CC46B2">
        <w:rPr>
          <w:rFonts w:hint="eastAsia"/>
        </w:rPr>
        <w:t>中國大陸國家統計局</w:t>
      </w:r>
      <w:r w:rsidR="00FB2605" w:rsidRPr="00101DD2">
        <w:rPr>
          <w:rFonts w:hint="eastAsia"/>
        </w:rPr>
        <w:t>，</w:t>
      </w:r>
      <w:r w:rsidR="00FB2605" w:rsidRPr="00101DD2">
        <w:rPr>
          <w:rFonts w:hint="eastAsia"/>
        </w:rPr>
        <w:t>2014</w:t>
      </w:r>
      <w:r w:rsidR="00FB2605" w:rsidRPr="00101DD2">
        <w:rPr>
          <w:rFonts w:hint="eastAsia"/>
        </w:rPr>
        <w:t>年</w:t>
      </w:r>
      <w:r w:rsidR="00101DD2" w:rsidRPr="00101DD2">
        <w:rPr>
          <w:rFonts w:hint="eastAsia"/>
          <w:lang w:eastAsia="zh-TW"/>
        </w:rPr>
        <w:t>10</w:t>
      </w:r>
      <w:r w:rsidR="00FB2605" w:rsidRPr="00101DD2">
        <w:rPr>
          <w:rFonts w:hint="eastAsia"/>
        </w:rPr>
        <w:t>月</w:t>
      </w:r>
      <w:r w:rsidR="00101DD2" w:rsidRPr="00101DD2">
        <w:rPr>
          <w:rFonts w:hint="eastAsia"/>
          <w:lang w:eastAsia="zh-TW"/>
        </w:rPr>
        <w:t>15</w:t>
      </w:r>
      <w:r w:rsidR="00FB2605" w:rsidRPr="00101DD2">
        <w:rPr>
          <w:rFonts w:hint="eastAsia"/>
        </w:rPr>
        <w:t>日</w:t>
      </w:r>
      <w:r w:rsidRPr="00101DD2">
        <w:rPr>
          <w:rFonts w:hint="eastAsia"/>
        </w:rPr>
        <w:t>。</w:t>
      </w:r>
    </w:p>
    <w:p w:rsidR="00963EE9" w:rsidRPr="00625925" w:rsidRDefault="00DB0C74" w:rsidP="0095677D">
      <w:pPr>
        <w:pStyle w:val="af0"/>
      </w:pPr>
      <w:bookmarkStart w:id="18" w:name="_Toc388271418"/>
      <w:bookmarkStart w:id="19" w:name="_Toc405462617"/>
      <w:r w:rsidRPr="00101DD2">
        <w:rPr>
          <w:rFonts w:hint="eastAsia"/>
        </w:rPr>
        <w:t>圖</w:t>
      </w:r>
      <w:r w:rsidRPr="00101DD2">
        <w:t>2-2</w:t>
      </w:r>
      <w:r w:rsidRPr="00101DD2">
        <w:rPr>
          <w:rFonts w:hint="eastAsia"/>
        </w:rPr>
        <w:t xml:space="preserve">　中國大陸消費者物價指數：</w:t>
      </w:r>
      <w:bookmarkEnd w:id="18"/>
      <w:r w:rsidR="00322A27">
        <w:t>2013</w:t>
      </w:r>
      <w:r w:rsidR="00322A27">
        <w:rPr>
          <w:rFonts w:hint="eastAsia"/>
          <w:lang w:eastAsia="zh-TW"/>
        </w:rPr>
        <w:t>/</w:t>
      </w:r>
      <w:r>
        <w:t>9</w:t>
      </w:r>
      <w:r w:rsidR="00322A27">
        <w:t>-2014/</w:t>
      </w:r>
      <w:r w:rsidR="00322A27">
        <w:rPr>
          <w:rFonts w:hint="eastAsia"/>
          <w:lang w:eastAsia="zh-TW"/>
        </w:rPr>
        <w:t>9</w:t>
      </w:r>
      <w:r w:rsidR="00322A27">
        <w:rPr>
          <w:rFonts w:hint="eastAsia"/>
          <w:lang w:eastAsia="zh-TW"/>
        </w:rPr>
        <w:t>月</w:t>
      </w:r>
      <w:bookmarkEnd w:id="19"/>
    </w:p>
    <w:p w:rsidR="00963EE9" w:rsidRPr="00963EE9" w:rsidRDefault="00DB0C74" w:rsidP="00963EE9">
      <w:pPr>
        <w:pStyle w:val="-"/>
        <w:spacing w:before="108" w:after="108"/>
        <w:ind w:firstLine="520"/>
      </w:pPr>
      <w:r w:rsidRPr="00963EE9">
        <w:rPr>
          <w:rFonts w:hint="eastAsia"/>
        </w:rPr>
        <w:t>李克強將就業放在極重要的位置，視為政府經濟工作的頭等大事。在政府工作報告時就指出，</w:t>
      </w:r>
      <w:r w:rsidRPr="00963EE9">
        <w:t>2014</w:t>
      </w:r>
      <w:r w:rsidRPr="00963EE9">
        <w:rPr>
          <w:rFonts w:hint="eastAsia"/>
        </w:rPr>
        <w:t>年目標創造城鎮新增就業</w:t>
      </w:r>
      <w:r w:rsidRPr="00963EE9">
        <w:t>1,000</w:t>
      </w:r>
      <w:r w:rsidRPr="00963EE9">
        <w:rPr>
          <w:rFonts w:hint="eastAsia"/>
        </w:rPr>
        <w:t>萬人以上，同時也要把城鎮登記失業率控制在</w:t>
      </w:r>
      <w:r w:rsidRPr="00963EE9">
        <w:t>4.6%</w:t>
      </w:r>
      <w:r w:rsidRPr="00963EE9">
        <w:rPr>
          <w:rFonts w:hint="eastAsia"/>
        </w:rPr>
        <w:t>以內。並多次強調可接受的經濟成長下限是必須保證充分的就業，使居民收入有成長，這顯示「保就業」將是李克強最重要的經濟底線。然而保就業和經濟結構轉型有相當大的關係，目前中國大陸經濟結構從過往製造業主導的出口型經濟逐漸要轉型為以服務業為主的消費型經濟，服務業每單位產值可創造的就業機會較製造業來得多，因此提高服務業比重成為重要關鍵因素，就算經濟成長速度放緩依舊仍可有效地增加就業機會。就目前狀況來看，</w:t>
      </w:r>
      <w:r w:rsidRPr="00963EE9">
        <w:t>2013</w:t>
      </w:r>
      <w:r w:rsidRPr="00963EE9">
        <w:rPr>
          <w:rFonts w:hint="eastAsia"/>
        </w:rPr>
        <w:t>年中國大陸服務業的國內生產總值首次超過工業，占三產比重來到</w:t>
      </w:r>
      <w:r w:rsidRPr="00963EE9">
        <w:t>46.1%</w:t>
      </w:r>
      <w:r w:rsidRPr="00963EE9">
        <w:rPr>
          <w:rFonts w:hint="eastAsia"/>
        </w:rPr>
        <w:t>，與</w:t>
      </w:r>
      <w:r>
        <w:rPr>
          <w:rFonts w:hint="eastAsia"/>
        </w:rPr>
        <w:t>先進</w:t>
      </w:r>
      <w:r w:rsidRPr="00963EE9">
        <w:rPr>
          <w:rFonts w:hint="eastAsia"/>
        </w:rPr>
        <w:t>國家服務業比重高達七</w:t>
      </w:r>
      <w:r>
        <w:rPr>
          <w:rFonts w:hint="eastAsia"/>
        </w:rPr>
        <w:t>、</w:t>
      </w:r>
      <w:r w:rsidRPr="00963EE9">
        <w:rPr>
          <w:rFonts w:hint="eastAsia"/>
        </w:rPr>
        <w:t>八成相比仍有很大</w:t>
      </w:r>
      <w:r>
        <w:rPr>
          <w:rFonts w:hint="eastAsia"/>
        </w:rPr>
        <w:t>成長</w:t>
      </w:r>
      <w:r w:rsidRPr="00963EE9">
        <w:rPr>
          <w:rFonts w:hint="eastAsia"/>
        </w:rPr>
        <w:t>的空間。今（</w:t>
      </w:r>
      <w:r w:rsidRPr="00963EE9">
        <w:t>2014</w:t>
      </w:r>
      <w:r w:rsidRPr="00963EE9">
        <w:rPr>
          <w:rFonts w:hint="eastAsia"/>
        </w:rPr>
        <w:t>）年</w:t>
      </w:r>
      <w:r>
        <w:t>5</w:t>
      </w:r>
      <w:r w:rsidRPr="00963EE9">
        <w:rPr>
          <w:rFonts w:hint="eastAsia"/>
        </w:rPr>
        <w:t>月中李克強</w:t>
      </w:r>
      <w:r>
        <w:rPr>
          <w:rFonts w:hint="eastAsia"/>
        </w:rPr>
        <w:t>也</w:t>
      </w:r>
      <w:r w:rsidRPr="00963EE9">
        <w:rPr>
          <w:rFonts w:hint="eastAsia"/>
        </w:rPr>
        <w:t>就加快發展生產性服務業提出具體措施，並鼓勵社會資本參與發展，顯示中國大陸政府積極發展服務業，以便於新增就業機會。中國大陸財政部長樓繼偉更表示，經濟成長率只要有</w:t>
      </w:r>
      <w:r w:rsidRPr="00963EE9">
        <w:t>7.2%</w:t>
      </w:r>
      <w:r w:rsidRPr="00963EE9">
        <w:rPr>
          <w:rFonts w:hint="eastAsia"/>
        </w:rPr>
        <w:t>就能夠滿足中國大陸的就業目</w:t>
      </w:r>
      <w:r w:rsidRPr="00963EE9">
        <w:rPr>
          <w:rFonts w:hint="eastAsia"/>
        </w:rPr>
        <w:lastRenderedPageBreak/>
        <w:t>標。言下之意</w:t>
      </w:r>
      <w:r>
        <w:rPr>
          <w:rFonts w:hint="eastAsia"/>
        </w:rPr>
        <w:t>是</w:t>
      </w:r>
      <w:r w:rsidRPr="00963EE9">
        <w:rPr>
          <w:rFonts w:hint="eastAsia"/>
        </w:rPr>
        <w:t>經濟結構向消費型服務業轉型，可創造的就業機會增加，但經濟成長率不見得如出口型製造業亮眼，中國大陸會以就業為首要權衡目標，不過於盲目追求表面數字。</w:t>
      </w:r>
    </w:p>
    <w:p w:rsidR="00963EE9" w:rsidRPr="00963EE9" w:rsidRDefault="00DB0C74" w:rsidP="00963EE9">
      <w:pPr>
        <w:pStyle w:val="-"/>
        <w:spacing w:before="108" w:after="108"/>
        <w:ind w:firstLine="520"/>
      </w:pPr>
      <w:r w:rsidRPr="00963EE9">
        <w:rPr>
          <w:rFonts w:hint="eastAsia"/>
        </w:rPr>
        <w:t>近期中國大陸對於</w:t>
      </w:r>
      <w:r>
        <w:rPr>
          <w:rFonts w:hint="eastAsia"/>
        </w:rPr>
        <w:t>「</w:t>
      </w:r>
      <w:r w:rsidRPr="00963EE9">
        <w:rPr>
          <w:rFonts w:hint="eastAsia"/>
        </w:rPr>
        <w:t>穩增長</w:t>
      </w:r>
      <w:r>
        <w:rPr>
          <w:rFonts w:hint="eastAsia"/>
        </w:rPr>
        <w:t>」</w:t>
      </w:r>
      <w:r w:rsidRPr="00963EE9">
        <w:rPr>
          <w:rFonts w:hint="eastAsia"/>
        </w:rPr>
        <w:t>政策採取投資方式的微刺激，包含保障房和基礎建設，前者主要是進行棚戶區改造，後者則是加快新建中西部邊遠地區鐵路等建設。至於新支出項目的規模有多大，尚無明確數據。從這兩項政策來看，可視為從民生角度進行政府投資，以維持經濟穩定成長的基本盤，有別以往</w:t>
      </w:r>
      <w:r>
        <w:rPr>
          <w:rFonts w:hint="eastAsia"/>
        </w:rPr>
        <w:t>「</w:t>
      </w:r>
      <w:r w:rsidRPr="00963EE9">
        <w:rPr>
          <w:rFonts w:hint="eastAsia"/>
        </w:rPr>
        <w:t>保增長</w:t>
      </w:r>
      <w:r>
        <w:rPr>
          <w:rFonts w:hint="eastAsia"/>
        </w:rPr>
        <w:t>」</w:t>
      </w:r>
      <w:r w:rsidRPr="00963EE9">
        <w:rPr>
          <w:rFonts w:hint="eastAsia"/>
        </w:rPr>
        <w:t>概念下的大規模刺激。另外，還有支持中小企業創業的各項減稅措施和簡化審批程序，其中一個重要目的都是為了創造就業機會。</w:t>
      </w:r>
    </w:p>
    <w:p w:rsidR="004712D1" w:rsidRDefault="00DB0C74" w:rsidP="00F63938">
      <w:pPr>
        <w:pStyle w:val="-"/>
        <w:spacing w:before="108" w:after="108"/>
        <w:ind w:firstLine="520"/>
      </w:pPr>
      <w:r w:rsidRPr="00963EE9">
        <w:rPr>
          <w:rFonts w:hint="eastAsia"/>
        </w:rPr>
        <w:t>綜上</w:t>
      </w:r>
      <w:r>
        <w:rPr>
          <w:rFonts w:hint="eastAsia"/>
        </w:rPr>
        <w:t>所</w:t>
      </w:r>
      <w:r w:rsidRPr="00963EE9">
        <w:rPr>
          <w:rFonts w:hint="eastAsia"/>
        </w:rPr>
        <w:t>述，中國大陸經濟成長</w:t>
      </w:r>
      <w:r>
        <w:rPr>
          <w:rFonts w:hint="eastAsia"/>
        </w:rPr>
        <w:t>目</w:t>
      </w:r>
      <w:r w:rsidRPr="00963EE9">
        <w:rPr>
          <w:rFonts w:hint="eastAsia"/>
        </w:rPr>
        <w:t>標</w:t>
      </w:r>
      <w:r>
        <w:rPr>
          <w:rFonts w:hint="eastAsia"/>
        </w:rPr>
        <w:t>將</w:t>
      </w:r>
      <w:r w:rsidRPr="00963EE9">
        <w:rPr>
          <w:rFonts w:hint="eastAsia"/>
        </w:rPr>
        <w:t>從單一發展目標（</w:t>
      </w:r>
      <w:r w:rsidRPr="00963EE9">
        <w:t>GDP</w:t>
      </w:r>
      <w:r w:rsidRPr="00963EE9">
        <w:rPr>
          <w:rFonts w:hint="eastAsia"/>
        </w:rPr>
        <w:t>）</w:t>
      </w:r>
      <w:r>
        <w:rPr>
          <w:rFonts w:hint="eastAsia"/>
        </w:rPr>
        <w:t>逐漸調整</w:t>
      </w:r>
      <w:r w:rsidRPr="00963EE9">
        <w:rPr>
          <w:rFonts w:hint="eastAsia"/>
        </w:rPr>
        <w:t>為多重發展目標（就業、物價、</w:t>
      </w:r>
      <w:r w:rsidRPr="00963EE9">
        <w:t>GDP</w:t>
      </w:r>
      <w:r w:rsidRPr="00963EE9">
        <w:rPr>
          <w:rFonts w:hint="eastAsia"/>
        </w:rPr>
        <w:t>），並放寬對傳統</w:t>
      </w:r>
      <w:r w:rsidRPr="00963EE9">
        <w:t>GDP</w:t>
      </w:r>
      <w:r w:rsidRPr="00963EE9">
        <w:rPr>
          <w:rFonts w:hint="eastAsia"/>
        </w:rPr>
        <w:t>成長目標的</w:t>
      </w:r>
      <w:r>
        <w:rPr>
          <w:rFonts w:hint="eastAsia"/>
        </w:rPr>
        <w:t>硬性</w:t>
      </w:r>
      <w:r w:rsidRPr="00963EE9">
        <w:rPr>
          <w:rFonts w:hint="eastAsia"/>
        </w:rPr>
        <w:t>限制，</w:t>
      </w:r>
      <w:r>
        <w:rPr>
          <w:rFonts w:hint="eastAsia"/>
        </w:rPr>
        <w:t>由過去遺留自</w:t>
      </w:r>
      <w:r w:rsidRPr="00963EE9">
        <w:rPr>
          <w:rFonts w:hint="eastAsia"/>
        </w:rPr>
        <w:t>中央計畫</w:t>
      </w:r>
      <w:r>
        <w:rPr>
          <w:rFonts w:hint="eastAsia"/>
        </w:rPr>
        <w:t>指令</w:t>
      </w:r>
      <w:r w:rsidRPr="00963EE9">
        <w:rPr>
          <w:rFonts w:hint="eastAsia"/>
        </w:rPr>
        <w:t>經濟時代</w:t>
      </w:r>
      <w:r>
        <w:rPr>
          <w:rFonts w:hint="eastAsia"/>
        </w:rPr>
        <w:t>的剛性觀念</w:t>
      </w:r>
      <w:r w:rsidRPr="00963EE9">
        <w:rPr>
          <w:rFonts w:hint="eastAsia"/>
        </w:rPr>
        <w:t>，</w:t>
      </w:r>
      <w:r>
        <w:rPr>
          <w:rFonts w:hint="eastAsia"/>
        </w:rPr>
        <w:t>轉變為現代化預測性質</w:t>
      </w:r>
      <w:r w:rsidRPr="00963EE9">
        <w:rPr>
          <w:rFonts w:hint="eastAsia"/>
        </w:rPr>
        <w:t>目標的</w:t>
      </w:r>
      <w:r>
        <w:rPr>
          <w:rFonts w:hint="eastAsia"/>
        </w:rPr>
        <w:t>軟性評估</w:t>
      </w:r>
      <w:r w:rsidRPr="00963EE9">
        <w:rPr>
          <w:rFonts w:hint="eastAsia"/>
        </w:rPr>
        <w:t>。設定目標為中央計畫經濟的做法，預測則是市場經濟運行的結果，前者以政府主導市場，後者是市場自主運行、政府為輔。習近平和李克強雖然尚未強烈的表態放棄設定成長目標，但卻對成長目標改以更開放的態度來看待，走向彈性成長目標，並一再強調更重視民生和環境等面向，</w:t>
      </w:r>
      <w:r>
        <w:rPr>
          <w:rFonts w:hint="eastAsia"/>
        </w:rPr>
        <w:t>此與三中改革內涵相一致</w:t>
      </w:r>
      <w:r w:rsidRPr="00963EE9">
        <w:rPr>
          <w:rFonts w:hint="eastAsia"/>
        </w:rPr>
        <w:t>。因此往後在觀察中國大陸經濟波動和背後的對應政策，這個概念將是解讀重點。</w:t>
      </w:r>
    </w:p>
    <w:p w:rsidR="00AA067C" w:rsidRDefault="00AA067C" w:rsidP="00AA067C">
      <w:pPr>
        <w:pStyle w:val="2"/>
        <w:spacing w:beforeLines="150" w:before="540" w:after="108"/>
        <w:rPr>
          <w:sz w:val="48"/>
        </w:rPr>
      </w:pPr>
      <w:bookmarkStart w:id="20" w:name="_Toc405462583"/>
      <w:r>
        <w:rPr>
          <w:rFonts w:hint="eastAsia"/>
          <w:sz w:val="48"/>
        </w:rPr>
        <w:t>第二節　由十二五規劃展望十三五規劃</w:t>
      </w:r>
      <w:bookmarkEnd w:id="20"/>
    </w:p>
    <w:p w:rsidR="00AA067C" w:rsidRPr="004F4CC3" w:rsidRDefault="00DB0C74" w:rsidP="004F4CC3">
      <w:pPr>
        <w:pStyle w:val="-"/>
        <w:spacing w:before="108" w:after="108"/>
        <w:ind w:firstLine="520"/>
      </w:pPr>
      <w:r w:rsidRPr="004F4CC3">
        <w:rPr>
          <w:rFonts w:hint="eastAsia"/>
        </w:rPr>
        <w:t>儘管目前各方對於中國大陸政治經濟發展的最新動向是置於習李自十八大換屆後的政策推陳，尤其是以十八屆三中全會深化改革的文件與後續之措施為代表，但若以中共之國家治理的規劃層面觀之，目前仍在十二五規劃的實施時期，而</w:t>
      </w:r>
      <w:r w:rsidRPr="004F4CC3">
        <w:t>2015</w:t>
      </w:r>
      <w:r w:rsidRPr="004F4CC3">
        <w:rPr>
          <w:rFonts w:hint="eastAsia"/>
        </w:rPr>
        <w:t>年才是其最後一年，也是下一個五年規劃－</w:t>
      </w:r>
      <w:r w:rsidRPr="004F4CC3">
        <w:rPr>
          <w:rFonts w:hint="eastAsia"/>
        </w:rPr>
        <w:lastRenderedPageBreak/>
        <w:t>十三五規劃內容將逐步浮上檯面的時間。</w:t>
      </w:r>
    </w:p>
    <w:p w:rsidR="00AA067C" w:rsidRPr="004F4CC3" w:rsidRDefault="0035101D" w:rsidP="004F4CC3">
      <w:pPr>
        <w:pStyle w:val="-"/>
        <w:spacing w:before="108" w:after="108"/>
        <w:ind w:firstLine="520"/>
      </w:pPr>
      <w:r>
        <w:rPr>
          <w:rFonts w:hint="eastAsia"/>
        </w:rPr>
        <w:t>部分</w:t>
      </w:r>
      <w:r w:rsidR="00DB0C74" w:rsidRPr="004F4CC3">
        <w:rPr>
          <w:rFonts w:hint="eastAsia"/>
        </w:rPr>
        <w:t>源於計劃經濟之故，中共對於國家發展治理有其非常系統化、非常注重事前規劃的傳統。而各項規劃當中最重要的無疑是國家的五年規劃，其他各項規劃則依據五年規劃之精神與要求，進一步體現於各部門別或地區別的規劃之內。因此，中共對於五年規劃從前期研究、思路形成、建議起草到綱要制定以及</w:t>
      </w:r>
      <w:r w:rsidR="007B11B8">
        <w:rPr>
          <w:rFonts w:hint="eastAsia"/>
        </w:rPr>
        <w:t>公布</w:t>
      </w:r>
      <w:r w:rsidR="00DB0C74" w:rsidRPr="004F4CC3">
        <w:rPr>
          <w:rFonts w:hint="eastAsia"/>
        </w:rPr>
        <w:t>實施，有其嚴謹與綿密的調研與內部決策過程，耗時長達</w:t>
      </w:r>
      <w:r w:rsidR="00DB0C74" w:rsidRPr="004F4CC3">
        <w:t>2-3</w:t>
      </w:r>
      <w:r w:rsidR="00DB0C74" w:rsidRPr="004F4CC3">
        <w:rPr>
          <w:rFonts w:hint="eastAsia"/>
        </w:rPr>
        <w:t>年，動員從中央到地方上萬人參與調研、座談、會議等，在此不再贅述。</w:t>
      </w:r>
    </w:p>
    <w:p w:rsidR="00AA067C" w:rsidRPr="004F4CC3" w:rsidRDefault="00DB0C74" w:rsidP="004F4CC3">
      <w:pPr>
        <w:pStyle w:val="-"/>
        <w:spacing w:before="108" w:after="108"/>
        <w:ind w:firstLine="520"/>
      </w:pPr>
      <w:r w:rsidRPr="004F4CC3">
        <w:rPr>
          <w:rFonts w:hint="eastAsia"/>
        </w:rPr>
        <w:t>以下我們參考胡鞍鋼對於十二五規劃制定過程之敘述，搭配已經進行完畢之十二五規劃中期評估以及進行中的十三五規劃前期研究，來完整地敘述預期未來關於十三五規劃之制定與實施的期程，要注意的是在</w:t>
      </w:r>
      <w:r w:rsidRPr="004F4CC3">
        <w:t>2014</w:t>
      </w:r>
      <w:r w:rsidRPr="004F4CC3">
        <w:rPr>
          <w:rFonts w:hint="eastAsia"/>
        </w:rPr>
        <w:t>年</w:t>
      </w:r>
      <w:r w:rsidRPr="004F4CC3">
        <w:t>11</w:t>
      </w:r>
      <w:r w:rsidRPr="004F4CC3">
        <w:rPr>
          <w:rFonts w:hint="eastAsia"/>
        </w:rPr>
        <w:t>月以後的時間點都是推估而尚未實現的：</w:t>
      </w:r>
    </w:p>
    <w:p w:rsidR="00AA067C" w:rsidRPr="004F4CC3" w:rsidRDefault="00DB0C74" w:rsidP="00AA067C">
      <w:pPr>
        <w:pStyle w:val="-"/>
        <w:numPr>
          <w:ilvl w:val="0"/>
          <w:numId w:val="10"/>
        </w:numPr>
        <w:spacing w:before="108" w:afterLines="0" w:after="0"/>
        <w:ind w:left="1004" w:firstLineChars="0" w:hanging="482"/>
        <w:rPr>
          <w:b/>
          <w:szCs w:val="26"/>
        </w:rPr>
      </w:pPr>
      <w:r w:rsidRPr="004F4CC3">
        <w:rPr>
          <w:b/>
          <w:szCs w:val="26"/>
        </w:rPr>
        <w:t>2013</w:t>
      </w:r>
      <w:r w:rsidRPr="004F4CC3">
        <w:rPr>
          <w:rFonts w:hint="eastAsia"/>
          <w:b/>
          <w:szCs w:val="26"/>
        </w:rPr>
        <w:t>年</w:t>
      </w:r>
      <w:r w:rsidRPr="004F4CC3">
        <w:rPr>
          <w:b/>
          <w:szCs w:val="26"/>
        </w:rPr>
        <w:t>3-12</w:t>
      </w:r>
      <w:r w:rsidRPr="004F4CC3">
        <w:rPr>
          <w:rFonts w:hint="eastAsia"/>
          <w:b/>
          <w:szCs w:val="26"/>
        </w:rPr>
        <w:t>月：</w:t>
      </w:r>
      <w:r w:rsidR="00EE24EE">
        <w:rPr>
          <w:rFonts w:hint="eastAsia"/>
          <w:b/>
          <w:szCs w:val="26"/>
        </w:rPr>
        <w:t>中國大陸國家發改委</w:t>
      </w:r>
      <w:r w:rsidRPr="004F4CC3">
        <w:rPr>
          <w:rFonts w:hint="eastAsia"/>
          <w:b/>
          <w:szCs w:val="26"/>
        </w:rPr>
        <w:t>與各地方開始進行十二五規劃中期評估</w:t>
      </w:r>
    </w:p>
    <w:p w:rsidR="00AA067C" w:rsidRPr="004F4CC3" w:rsidRDefault="00DB0C74" w:rsidP="00AA067C">
      <w:pPr>
        <w:pStyle w:val="-"/>
        <w:numPr>
          <w:ilvl w:val="1"/>
          <w:numId w:val="11"/>
        </w:numPr>
        <w:spacing w:before="108" w:afterLines="0" w:after="0"/>
        <w:ind w:firstLineChars="0"/>
        <w:rPr>
          <w:szCs w:val="26"/>
        </w:rPr>
      </w:pPr>
      <w:r w:rsidRPr="004F4CC3">
        <w:rPr>
          <w:szCs w:val="26"/>
        </w:rPr>
        <w:t>2014</w:t>
      </w:r>
      <w:r w:rsidRPr="004F4CC3">
        <w:rPr>
          <w:rFonts w:hint="eastAsia"/>
          <w:szCs w:val="26"/>
        </w:rPr>
        <w:t>年</w:t>
      </w:r>
      <w:r w:rsidRPr="004F4CC3">
        <w:rPr>
          <w:szCs w:val="26"/>
        </w:rPr>
        <w:t>4</w:t>
      </w:r>
      <w:r w:rsidRPr="004F4CC3">
        <w:rPr>
          <w:rFonts w:hint="eastAsia"/>
          <w:szCs w:val="26"/>
        </w:rPr>
        <w:t>月</w:t>
      </w:r>
      <w:r w:rsidRPr="004F4CC3">
        <w:rPr>
          <w:szCs w:val="26"/>
        </w:rPr>
        <w:t>10</w:t>
      </w:r>
      <w:r w:rsidRPr="004F4CC3">
        <w:rPr>
          <w:rFonts w:hint="eastAsia"/>
          <w:szCs w:val="26"/>
        </w:rPr>
        <w:t>日：</w:t>
      </w:r>
      <w:r w:rsidR="00F468EE">
        <w:rPr>
          <w:rFonts w:hint="eastAsia"/>
          <w:szCs w:val="26"/>
        </w:rPr>
        <w:t>中國大陸國務院</w:t>
      </w:r>
      <w:r w:rsidRPr="004F4CC3">
        <w:rPr>
          <w:rFonts w:hint="eastAsia"/>
          <w:szCs w:val="26"/>
        </w:rPr>
        <w:t>於發布「關於《中華人民共和國國民經濟和社會發展第十二個五年規劃綱要》實施中期評估報告」（以下簡稱《十二五規劃中期評估》或《評估》）</w:t>
      </w:r>
    </w:p>
    <w:p w:rsidR="00AA067C" w:rsidRPr="004F4CC3" w:rsidRDefault="00DB0C74" w:rsidP="00AA067C">
      <w:pPr>
        <w:pStyle w:val="-"/>
        <w:numPr>
          <w:ilvl w:val="0"/>
          <w:numId w:val="10"/>
        </w:numPr>
        <w:spacing w:before="108" w:afterLines="0" w:after="0"/>
        <w:ind w:left="1004" w:firstLineChars="0" w:hanging="482"/>
        <w:rPr>
          <w:b/>
          <w:szCs w:val="26"/>
        </w:rPr>
      </w:pPr>
      <w:r w:rsidRPr="004F4CC3">
        <w:rPr>
          <w:b/>
          <w:szCs w:val="26"/>
        </w:rPr>
        <w:t>2013</w:t>
      </w:r>
      <w:r w:rsidRPr="004F4CC3">
        <w:rPr>
          <w:rFonts w:hint="eastAsia"/>
          <w:b/>
          <w:szCs w:val="26"/>
        </w:rPr>
        <w:t>年</w:t>
      </w:r>
      <w:r w:rsidRPr="004F4CC3">
        <w:rPr>
          <w:b/>
          <w:szCs w:val="26"/>
        </w:rPr>
        <w:t>12</w:t>
      </w:r>
      <w:r w:rsidRPr="004F4CC3">
        <w:rPr>
          <w:rFonts w:hint="eastAsia"/>
          <w:b/>
          <w:szCs w:val="26"/>
        </w:rPr>
        <w:t>月－</w:t>
      </w:r>
      <w:r w:rsidRPr="004F4CC3">
        <w:rPr>
          <w:b/>
          <w:szCs w:val="26"/>
        </w:rPr>
        <w:t>2014</w:t>
      </w:r>
      <w:r w:rsidRPr="004F4CC3">
        <w:rPr>
          <w:rFonts w:hint="eastAsia"/>
          <w:b/>
          <w:szCs w:val="26"/>
        </w:rPr>
        <w:t>年</w:t>
      </w:r>
      <w:r w:rsidRPr="004F4CC3">
        <w:rPr>
          <w:b/>
          <w:szCs w:val="26"/>
        </w:rPr>
        <w:t>12</w:t>
      </w:r>
      <w:r w:rsidRPr="004F4CC3">
        <w:rPr>
          <w:rFonts w:hint="eastAsia"/>
          <w:b/>
          <w:szCs w:val="26"/>
        </w:rPr>
        <w:t>月：十三五規劃前期研究階段</w:t>
      </w:r>
    </w:p>
    <w:p w:rsidR="00AA067C" w:rsidRPr="004F4CC3" w:rsidRDefault="00DB0C74" w:rsidP="00AA067C">
      <w:pPr>
        <w:pStyle w:val="-"/>
        <w:numPr>
          <w:ilvl w:val="1"/>
          <w:numId w:val="11"/>
        </w:numPr>
        <w:spacing w:before="108" w:afterLines="0" w:after="0"/>
        <w:ind w:firstLineChars="0"/>
        <w:rPr>
          <w:szCs w:val="26"/>
        </w:rPr>
      </w:pPr>
      <w:r w:rsidRPr="004F4CC3">
        <w:rPr>
          <w:szCs w:val="26"/>
        </w:rPr>
        <w:t>2014</w:t>
      </w:r>
      <w:r w:rsidRPr="004F4CC3">
        <w:rPr>
          <w:rFonts w:hint="eastAsia"/>
          <w:szCs w:val="26"/>
        </w:rPr>
        <w:t>年</w:t>
      </w:r>
      <w:r w:rsidRPr="004F4CC3">
        <w:rPr>
          <w:szCs w:val="26"/>
        </w:rPr>
        <w:t>4</w:t>
      </w:r>
      <w:r w:rsidRPr="004F4CC3">
        <w:rPr>
          <w:rFonts w:hint="eastAsia"/>
          <w:szCs w:val="26"/>
        </w:rPr>
        <w:t>月</w:t>
      </w:r>
      <w:r w:rsidRPr="004F4CC3">
        <w:rPr>
          <w:szCs w:val="26"/>
        </w:rPr>
        <w:t>17</w:t>
      </w:r>
      <w:r w:rsidRPr="004F4CC3">
        <w:rPr>
          <w:rFonts w:hint="eastAsia"/>
          <w:szCs w:val="26"/>
        </w:rPr>
        <w:t>日：</w:t>
      </w:r>
      <w:r w:rsidR="00EE24EE">
        <w:rPr>
          <w:rFonts w:hint="eastAsia"/>
          <w:szCs w:val="26"/>
        </w:rPr>
        <w:t>中國大陸國家發改委</w:t>
      </w:r>
      <w:r w:rsidRPr="004F4CC3">
        <w:rPr>
          <w:rFonts w:hint="eastAsia"/>
          <w:szCs w:val="26"/>
        </w:rPr>
        <w:t>主任徐紹史召開全國十三五規劃編制工作電視電話會議，</w:t>
      </w:r>
      <w:r w:rsidR="00E41F3A">
        <w:rPr>
          <w:rFonts w:hint="eastAsia"/>
          <w:szCs w:val="26"/>
        </w:rPr>
        <w:t>宣布</w:t>
      </w:r>
      <w:r w:rsidRPr="004F4CC3">
        <w:rPr>
          <w:rFonts w:hint="eastAsia"/>
          <w:szCs w:val="26"/>
        </w:rPr>
        <w:t>啟動編制</w:t>
      </w:r>
      <w:r w:rsidR="005F5D55">
        <w:rPr>
          <w:rFonts w:hint="eastAsia"/>
          <w:szCs w:val="26"/>
        </w:rPr>
        <w:t>中國大陸</w:t>
      </w:r>
      <w:r w:rsidRPr="004F4CC3">
        <w:rPr>
          <w:rFonts w:hint="eastAsia"/>
          <w:szCs w:val="26"/>
        </w:rPr>
        <w:t>國家十三五規劃，各地方紛紛展開十三五規劃之前期研究</w:t>
      </w:r>
    </w:p>
    <w:p w:rsidR="00AA067C" w:rsidRPr="004F4CC3" w:rsidRDefault="00DB0C74" w:rsidP="00AA067C">
      <w:pPr>
        <w:pStyle w:val="-"/>
        <w:numPr>
          <w:ilvl w:val="1"/>
          <w:numId w:val="11"/>
        </w:numPr>
        <w:spacing w:before="108" w:afterLines="0" w:after="0"/>
        <w:ind w:firstLineChars="0"/>
        <w:rPr>
          <w:szCs w:val="26"/>
        </w:rPr>
      </w:pPr>
      <w:r w:rsidRPr="004F4CC3">
        <w:rPr>
          <w:szCs w:val="26"/>
        </w:rPr>
        <w:t>2014</w:t>
      </w:r>
      <w:r w:rsidRPr="004F4CC3">
        <w:rPr>
          <w:rFonts w:hint="eastAsia"/>
          <w:szCs w:val="26"/>
        </w:rPr>
        <w:t>年</w:t>
      </w:r>
      <w:r w:rsidRPr="004F4CC3">
        <w:rPr>
          <w:szCs w:val="26"/>
        </w:rPr>
        <w:t>5</w:t>
      </w:r>
      <w:r w:rsidRPr="004F4CC3">
        <w:rPr>
          <w:rFonts w:hint="eastAsia"/>
          <w:szCs w:val="26"/>
        </w:rPr>
        <w:t>月：發改委規劃司</w:t>
      </w:r>
      <w:r w:rsidR="007B11B8">
        <w:rPr>
          <w:rFonts w:hint="eastAsia"/>
          <w:szCs w:val="26"/>
        </w:rPr>
        <w:t>公布</w:t>
      </w:r>
      <w:r w:rsidRPr="004F4CC3">
        <w:rPr>
          <w:rFonts w:hint="eastAsia"/>
          <w:szCs w:val="26"/>
        </w:rPr>
        <w:t>前期研究重大課題向外遴選研究單位</w:t>
      </w:r>
    </w:p>
    <w:p w:rsidR="00AA067C" w:rsidRPr="004F4CC3" w:rsidRDefault="00DB0C74" w:rsidP="00AA067C">
      <w:pPr>
        <w:pStyle w:val="-"/>
        <w:numPr>
          <w:ilvl w:val="1"/>
          <w:numId w:val="11"/>
        </w:numPr>
        <w:spacing w:before="108" w:afterLines="0" w:after="0"/>
        <w:ind w:firstLineChars="0"/>
        <w:rPr>
          <w:szCs w:val="26"/>
        </w:rPr>
      </w:pPr>
      <w:r w:rsidRPr="004F4CC3">
        <w:rPr>
          <w:szCs w:val="26"/>
        </w:rPr>
        <w:t>2014</w:t>
      </w:r>
      <w:r w:rsidRPr="004F4CC3">
        <w:rPr>
          <w:rFonts w:hint="eastAsia"/>
          <w:szCs w:val="26"/>
        </w:rPr>
        <w:t>年</w:t>
      </w:r>
      <w:r w:rsidRPr="004F4CC3">
        <w:rPr>
          <w:szCs w:val="26"/>
        </w:rPr>
        <w:t>6</w:t>
      </w:r>
      <w:r w:rsidRPr="004F4CC3">
        <w:rPr>
          <w:rFonts w:hint="eastAsia"/>
          <w:szCs w:val="26"/>
        </w:rPr>
        <w:t>月：發改委啟動「建言十三五」微信公眾平臺，蒐集民眾對於十三五規劃的意見和建議</w:t>
      </w:r>
    </w:p>
    <w:p w:rsidR="00AA067C" w:rsidRPr="004F4CC3" w:rsidRDefault="00DB0C74" w:rsidP="00AA067C">
      <w:pPr>
        <w:pStyle w:val="-"/>
        <w:numPr>
          <w:ilvl w:val="1"/>
          <w:numId w:val="11"/>
        </w:numPr>
        <w:spacing w:before="108" w:afterLines="0" w:after="0"/>
        <w:ind w:firstLineChars="0"/>
        <w:rPr>
          <w:szCs w:val="26"/>
        </w:rPr>
      </w:pPr>
      <w:r w:rsidRPr="004F4CC3">
        <w:rPr>
          <w:szCs w:val="26"/>
        </w:rPr>
        <w:lastRenderedPageBreak/>
        <w:t>2014</w:t>
      </w:r>
      <w:r w:rsidRPr="004F4CC3">
        <w:rPr>
          <w:rFonts w:hint="eastAsia"/>
          <w:szCs w:val="26"/>
        </w:rPr>
        <w:t>年</w:t>
      </w:r>
      <w:r w:rsidRPr="004F4CC3">
        <w:rPr>
          <w:szCs w:val="26"/>
        </w:rPr>
        <w:t>8</w:t>
      </w:r>
      <w:r w:rsidRPr="004F4CC3">
        <w:rPr>
          <w:rFonts w:hint="eastAsia"/>
          <w:szCs w:val="26"/>
        </w:rPr>
        <w:t>月：前期研究</w:t>
      </w:r>
      <w:r w:rsidRPr="004F4CC3">
        <w:rPr>
          <w:szCs w:val="26"/>
        </w:rPr>
        <w:t>26</w:t>
      </w:r>
      <w:r w:rsidRPr="004F4CC3">
        <w:rPr>
          <w:rFonts w:hint="eastAsia"/>
          <w:szCs w:val="26"/>
        </w:rPr>
        <w:t>項重大課題完成最終研究報告</w:t>
      </w:r>
    </w:p>
    <w:p w:rsidR="00AA067C" w:rsidRPr="004F4CC3" w:rsidRDefault="00DB0C74" w:rsidP="00AA067C">
      <w:pPr>
        <w:pStyle w:val="-"/>
        <w:numPr>
          <w:ilvl w:val="0"/>
          <w:numId w:val="10"/>
        </w:numPr>
        <w:spacing w:before="108" w:afterLines="0" w:after="0"/>
        <w:ind w:left="1004" w:firstLineChars="0" w:hanging="482"/>
        <w:rPr>
          <w:b/>
          <w:szCs w:val="26"/>
        </w:rPr>
      </w:pPr>
      <w:r w:rsidRPr="004F4CC3">
        <w:rPr>
          <w:b/>
          <w:szCs w:val="26"/>
        </w:rPr>
        <w:t>2014</w:t>
      </w:r>
      <w:r w:rsidRPr="004F4CC3">
        <w:rPr>
          <w:rFonts w:hint="eastAsia"/>
          <w:b/>
          <w:szCs w:val="26"/>
        </w:rPr>
        <w:t>年</w:t>
      </w:r>
      <w:r w:rsidRPr="004F4CC3">
        <w:rPr>
          <w:b/>
          <w:szCs w:val="26"/>
        </w:rPr>
        <w:t>12</w:t>
      </w:r>
      <w:r w:rsidRPr="004F4CC3">
        <w:rPr>
          <w:rFonts w:hint="eastAsia"/>
          <w:b/>
          <w:szCs w:val="26"/>
        </w:rPr>
        <w:t>月－</w:t>
      </w:r>
      <w:r w:rsidRPr="004F4CC3">
        <w:rPr>
          <w:b/>
          <w:szCs w:val="26"/>
        </w:rPr>
        <w:t>2015</w:t>
      </w:r>
      <w:r w:rsidRPr="004F4CC3">
        <w:rPr>
          <w:rFonts w:hint="eastAsia"/>
          <w:b/>
          <w:szCs w:val="26"/>
        </w:rPr>
        <w:t>年</w:t>
      </w:r>
      <w:r w:rsidRPr="004F4CC3">
        <w:rPr>
          <w:b/>
          <w:szCs w:val="26"/>
        </w:rPr>
        <w:t>2</w:t>
      </w:r>
      <w:r w:rsidRPr="004F4CC3">
        <w:rPr>
          <w:rFonts w:hint="eastAsia"/>
          <w:b/>
          <w:szCs w:val="26"/>
        </w:rPr>
        <w:t>月：十三五規劃形成基本思路</w:t>
      </w:r>
    </w:p>
    <w:p w:rsidR="00AA067C" w:rsidRPr="004F4CC3" w:rsidRDefault="00DB0C74" w:rsidP="00AA067C">
      <w:pPr>
        <w:pStyle w:val="-"/>
        <w:numPr>
          <w:ilvl w:val="0"/>
          <w:numId w:val="10"/>
        </w:numPr>
        <w:spacing w:before="108" w:afterLines="0" w:after="0"/>
        <w:ind w:left="1004" w:firstLineChars="0" w:hanging="482"/>
        <w:rPr>
          <w:b/>
          <w:szCs w:val="26"/>
        </w:rPr>
      </w:pPr>
      <w:r w:rsidRPr="004F4CC3">
        <w:rPr>
          <w:b/>
          <w:szCs w:val="26"/>
        </w:rPr>
        <w:t>2015</w:t>
      </w:r>
      <w:r w:rsidRPr="004F4CC3">
        <w:rPr>
          <w:rFonts w:hint="eastAsia"/>
          <w:b/>
          <w:szCs w:val="26"/>
        </w:rPr>
        <w:t>年</w:t>
      </w:r>
      <w:r w:rsidRPr="004F4CC3">
        <w:rPr>
          <w:b/>
          <w:szCs w:val="26"/>
        </w:rPr>
        <w:t>2</w:t>
      </w:r>
      <w:r w:rsidRPr="004F4CC3">
        <w:rPr>
          <w:rFonts w:hint="eastAsia"/>
          <w:b/>
          <w:szCs w:val="26"/>
        </w:rPr>
        <w:t>月－</w:t>
      </w:r>
      <w:r w:rsidRPr="004F4CC3">
        <w:rPr>
          <w:b/>
          <w:szCs w:val="26"/>
        </w:rPr>
        <w:t>2015</w:t>
      </w:r>
      <w:r w:rsidRPr="004F4CC3">
        <w:rPr>
          <w:rFonts w:hint="eastAsia"/>
          <w:b/>
          <w:szCs w:val="26"/>
        </w:rPr>
        <w:t>年</w:t>
      </w:r>
      <w:r w:rsidRPr="004F4CC3">
        <w:rPr>
          <w:b/>
          <w:szCs w:val="26"/>
        </w:rPr>
        <w:t>10</w:t>
      </w:r>
      <w:r w:rsidRPr="004F4CC3">
        <w:rPr>
          <w:rFonts w:hint="eastAsia"/>
          <w:b/>
          <w:szCs w:val="26"/>
        </w:rPr>
        <w:t>月：第十八屆五中全會通過《中共中央關於制定國民經濟和社會發展第十三個五年規劃的建議》（以下簡稱《十三五規劃建議》）</w:t>
      </w:r>
    </w:p>
    <w:p w:rsidR="00AA067C" w:rsidRPr="004F4CC3" w:rsidRDefault="00DB0C74" w:rsidP="00AA067C">
      <w:pPr>
        <w:pStyle w:val="-"/>
        <w:numPr>
          <w:ilvl w:val="0"/>
          <w:numId w:val="10"/>
        </w:numPr>
        <w:spacing w:before="108" w:afterLines="0" w:after="0"/>
        <w:ind w:left="1004" w:firstLineChars="0" w:hanging="482"/>
        <w:rPr>
          <w:b/>
          <w:szCs w:val="26"/>
        </w:rPr>
      </w:pPr>
      <w:r w:rsidRPr="004F4CC3">
        <w:rPr>
          <w:b/>
          <w:szCs w:val="26"/>
        </w:rPr>
        <w:t>2015</w:t>
      </w:r>
      <w:r w:rsidRPr="004F4CC3">
        <w:rPr>
          <w:rFonts w:hint="eastAsia"/>
          <w:b/>
          <w:szCs w:val="26"/>
        </w:rPr>
        <w:t>年</w:t>
      </w:r>
      <w:r w:rsidRPr="004F4CC3">
        <w:rPr>
          <w:b/>
          <w:szCs w:val="26"/>
        </w:rPr>
        <w:t>10</w:t>
      </w:r>
      <w:r w:rsidRPr="004F4CC3">
        <w:rPr>
          <w:rFonts w:hint="eastAsia"/>
          <w:b/>
          <w:szCs w:val="26"/>
        </w:rPr>
        <w:t>月－</w:t>
      </w:r>
      <w:r w:rsidRPr="004F4CC3">
        <w:rPr>
          <w:b/>
          <w:szCs w:val="26"/>
        </w:rPr>
        <w:t>2016</w:t>
      </w:r>
      <w:r w:rsidRPr="004F4CC3">
        <w:rPr>
          <w:rFonts w:hint="eastAsia"/>
          <w:b/>
          <w:szCs w:val="26"/>
        </w:rPr>
        <w:t>年</w:t>
      </w:r>
      <w:r w:rsidRPr="004F4CC3">
        <w:rPr>
          <w:b/>
          <w:szCs w:val="26"/>
        </w:rPr>
        <w:t>2</w:t>
      </w:r>
      <w:r w:rsidRPr="004F4CC3">
        <w:rPr>
          <w:rFonts w:hint="eastAsia"/>
          <w:b/>
          <w:szCs w:val="26"/>
        </w:rPr>
        <w:t>月：制定十三五規劃綱要</w:t>
      </w:r>
    </w:p>
    <w:p w:rsidR="00AA067C" w:rsidRPr="004F4CC3" w:rsidRDefault="00DB0C74" w:rsidP="00AA067C">
      <w:pPr>
        <w:pStyle w:val="-"/>
        <w:numPr>
          <w:ilvl w:val="0"/>
          <w:numId w:val="10"/>
        </w:numPr>
        <w:spacing w:before="108" w:afterLines="0" w:after="0"/>
        <w:ind w:left="1004" w:firstLineChars="0" w:hanging="482"/>
        <w:rPr>
          <w:b/>
          <w:szCs w:val="26"/>
        </w:rPr>
      </w:pPr>
      <w:r w:rsidRPr="004F4CC3">
        <w:rPr>
          <w:b/>
          <w:szCs w:val="26"/>
        </w:rPr>
        <w:t>2016</w:t>
      </w:r>
      <w:r w:rsidRPr="004F4CC3">
        <w:rPr>
          <w:rFonts w:hint="eastAsia"/>
          <w:b/>
          <w:szCs w:val="26"/>
        </w:rPr>
        <w:t>年</w:t>
      </w:r>
      <w:r w:rsidRPr="004F4CC3">
        <w:rPr>
          <w:b/>
          <w:szCs w:val="26"/>
        </w:rPr>
        <w:t>3</w:t>
      </w:r>
      <w:r w:rsidRPr="004F4CC3">
        <w:rPr>
          <w:rFonts w:hint="eastAsia"/>
          <w:b/>
          <w:szCs w:val="26"/>
        </w:rPr>
        <w:t>月：全國人民代表大會審議並批准《中華人民共和國國民經濟和社會發展第十三個五年規劃綱要》（以下簡稱《十三五規劃綱要》），十三五規劃正式實施</w:t>
      </w:r>
    </w:p>
    <w:p w:rsidR="00AA067C" w:rsidRPr="004F4CC3" w:rsidRDefault="00DB0C74" w:rsidP="004F4CC3">
      <w:pPr>
        <w:pStyle w:val="-"/>
        <w:spacing w:before="108" w:after="108"/>
        <w:ind w:firstLine="520"/>
      </w:pPr>
      <w:r w:rsidRPr="004F4CC3">
        <w:rPr>
          <w:rFonts w:hint="eastAsia"/>
        </w:rPr>
        <w:t>因此，雖然我們陸續可以看到許多關於十三五規劃內容的推論或猜測等報導，但要有較確切之內容仍要等到</w:t>
      </w:r>
      <w:r w:rsidRPr="004F4CC3">
        <w:t>2015</w:t>
      </w:r>
      <w:r w:rsidRPr="004F4CC3">
        <w:rPr>
          <w:rFonts w:hint="eastAsia"/>
        </w:rPr>
        <w:t>年</w:t>
      </w:r>
      <w:r w:rsidRPr="004F4CC3">
        <w:t>10</w:t>
      </w:r>
      <w:r w:rsidRPr="004F4CC3">
        <w:rPr>
          <w:rFonts w:hint="eastAsia"/>
        </w:rPr>
        <w:t>月的五中全會後。目前，我們可以針對已經發生的十二五規劃中期評估以及</w:t>
      </w:r>
      <w:r w:rsidR="0035101D">
        <w:rPr>
          <w:rFonts w:hint="eastAsia"/>
        </w:rPr>
        <w:t>部分</w:t>
      </w:r>
      <w:r w:rsidRPr="004F4CC3">
        <w:rPr>
          <w:rFonts w:hint="eastAsia"/>
        </w:rPr>
        <w:t>十三五規劃前期研究的重大課題選題方向等，配合</w:t>
      </w:r>
      <w:r w:rsidR="0035101D">
        <w:rPr>
          <w:rFonts w:hint="eastAsia"/>
        </w:rPr>
        <w:t>部分</w:t>
      </w:r>
      <w:r w:rsidRPr="004F4CC3">
        <w:rPr>
          <w:rFonts w:hint="eastAsia"/>
        </w:rPr>
        <w:t>專家評論，來展望十三五規劃之內容。</w:t>
      </w:r>
    </w:p>
    <w:p w:rsidR="00AA067C" w:rsidRDefault="00DB0C74" w:rsidP="00F80265">
      <w:pPr>
        <w:pStyle w:val="3"/>
        <w:spacing w:beforeLines="100" w:before="360" w:after="72"/>
        <w:rPr>
          <w:rFonts w:ascii="Times New Roman" w:hAnsi="Times New Roman"/>
          <w:sz w:val="44"/>
        </w:rPr>
      </w:pPr>
      <w:r>
        <w:rPr>
          <w:rFonts w:ascii="Times New Roman" w:hAnsi="Times New Roman" w:hint="eastAsia"/>
          <w:sz w:val="44"/>
        </w:rPr>
        <w:t>壹、十二五規劃執行之中期評估要點</w:t>
      </w:r>
    </w:p>
    <w:p w:rsidR="00AA067C" w:rsidRDefault="00DB0C74" w:rsidP="00B636FC">
      <w:pPr>
        <w:pStyle w:val="-"/>
        <w:spacing w:before="108" w:after="108"/>
        <w:ind w:firstLine="520"/>
      </w:pPr>
      <w:r w:rsidRPr="00B636FC">
        <w:rPr>
          <w:rFonts w:hint="eastAsia"/>
        </w:rPr>
        <w:t>《十二五規劃中期評估》總報告</w:t>
      </w:r>
      <w:r w:rsidRPr="00B636FC">
        <w:t>6</w:t>
      </w:r>
      <w:r w:rsidRPr="00B636FC">
        <w:rPr>
          <w:rFonts w:hint="eastAsia"/>
        </w:rPr>
        <w:t>萬餘字，其中主文</w:t>
      </w:r>
      <w:r w:rsidRPr="00B636FC">
        <w:t>2</w:t>
      </w:r>
      <w:r w:rsidRPr="00B636FC">
        <w:rPr>
          <w:rFonts w:hint="eastAsia"/>
        </w:rPr>
        <w:t>萬字，其餘三份附件則分別針對《十二五規劃</w:t>
      </w:r>
      <w:r>
        <w:rPr>
          <w:rFonts w:hint="eastAsia"/>
        </w:rPr>
        <w:t>綱要》中的主要指標完成情況、重點任務完成情況與重大工程進展情況進行期中的分項檢視（資料截止時間點設為</w:t>
      </w:r>
      <w:r>
        <w:t>2013</w:t>
      </w:r>
      <w:r>
        <w:rPr>
          <w:rFonts w:hint="eastAsia"/>
        </w:rPr>
        <w:t>年</w:t>
      </w:r>
      <w:r>
        <w:t>6</w:t>
      </w:r>
      <w:r>
        <w:rPr>
          <w:rFonts w:hint="eastAsia"/>
        </w:rPr>
        <w:t>月底）。就其主文來看，可分為三大部分：一、簡介十二五規劃前半時期實施的成果；二、敘述接下來主要的問題與挑戰；三、未來強化實施的主要措施。以下將依據此一脈絡來呈現此一中期評估的大要。</w:t>
      </w:r>
    </w:p>
    <w:p w:rsidR="00AA067C" w:rsidRDefault="00DB0C74" w:rsidP="00AA067C">
      <w:pPr>
        <w:pStyle w:val="-"/>
        <w:spacing w:before="108" w:after="108"/>
        <w:ind w:firstLine="520"/>
      </w:pPr>
      <w:r>
        <w:rPr>
          <w:rFonts w:hint="eastAsia"/>
        </w:rPr>
        <w:t>首先，就實施成果來看，《評估》認為在國內外發展環境的變化下，十二五規劃在前半時期的實施還是取得了相當好的成效，包括經濟的成長超越預期目標、經濟結構調整有新的進展、科技教育水準穩步提高、資源</w:t>
      </w:r>
      <w:r>
        <w:rPr>
          <w:rFonts w:hint="eastAsia"/>
        </w:rPr>
        <w:lastRenderedPageBreak/>
        <w:t>節約與環境保護力度加大、人民生活水準不斷提高、社會事業與社會管理也有所加強、改革開放穩步推進，以及包括政治文明、港澳治理、國防軍隊等重點任務都進展順利。《評估》，認為整體來看，《十二五規劃綱要》所提出的主要目標、重點任務、重大工程等實施進展順利，</w:t>
      </w:r>
      <w:r>
        <w:t>24</w:t>
      </w:r>
      <w:r>
        <w:rPr>
          <w:rFonts w:hint="eastAsia"/>
        </w:rPr>
        <w:t>個主要指標大多數都已達到預期之進度要求，少數指標甚至已經提前完成全期之目標。但在實現進度落後的少數指標部分，需要在下半期實施時予以更多關注，這些落後的指標都屬於資源環境的分項領域，包括能源消費強度控制指標、二氧化碳排放強度控制指標、能源消費結構優化指標、氮氧化物排放量下降指標等。</w:t>
      </w:r>
    </w:p>
    <w:p w:rsidR="00AA067C" w:rsidRDefault="00DB0C74" w:rsidP="00AA067C">
      <w:pPr>
        <w:pStyle w:val="-"/>
        <w:spacing w:before="108" w:after="108"/>
        <w:ind w:firstLine="520"/>
      </w:pPr>
      <w:r>
        <w:rPr>
          <w:rFonts w:hint="eastAsia"/>
        </w:rPr>
        <w:t>其次，關於存在的主要的問題與挑戰，《評估》認為「制約科學發展的思維定式、路徑依賴、體制機制尚未發生根本改變，關鍵領域改革推進難度較大，科學發展和轉變經濟發展方式的激勵約束機制尚未健全，《綱要》</w:t>
      </w:r>
      <w:r>
        <w:t>…</w:t>
      </w:r>
      <w:r>
        <w:rPr>
          <w:rFonts w:hint="eastAsia"/>
        </w:rPr>
        <w:t>有待進一步落實」。其點明的問題與挑戰包括：結構優化升級進展緩慢、環境污染形勢嚴峻、財政金融風險增大、社會矛盾複雜多發等。</w:t>
      </w:r>
    </w:p>
    <w:p w:rsidR="00AA067C" w:rsidRDefault="00DB0C74" w:rsidP="00AA067C">
      <w:pPr>
        <w:pStyle w:val="-"/>
        <w:spacing w:before="108" w:after="108"/>
        <w:ind w:firstLine="520"/>
      </w:pPr>
      <w:r>
        <w:rPr>
          <w:rFonts w:hint="eastAsia"/>
        </w:rPr>
        <w:t>最後，也是最重要的關於未來強化實施的主要措施方面，其很合理地提到要落實「黨的十八大精神和十八屆二中、三中全會所做出的一系列新部署」，並且針對資源環境未達標情況也提到要「強力推進節能減排和生態環境保護各項舉措」，以便全面實現目標任務。其主要提到了</w:t>
      </w:r>
      <w:r>
        <w:t>7</w:t>
      </w:r>
      <w:r>
        <w:rPr>
          <w:rFonts w:hint="eastAsia"/>
        </w:rPr>
        <w:t>大項主要措施，以下將其標題與次標題列於下，以提供大致樣貌：</w:t>
      </w:r>
    </w:p>
    <w:p w:rsidR="00AA067C" w:rsidRDefault="00DB0C74" w:rsidP="00AA067C">
      <w:pPr>
        <w:pStyle w:val="-"/>
        <w:numPr>
          <w:ilvl w:val="0"/>
          <w:numId w:val="10"/>
        </w:numPr>
        <w:spacing w:before="108" w:afterLines="0" w:after="0"/>
        <w:ind w:left="1004" w:firstLineChars="0" w:hanging="482"/>
        <w:rPr>
          <w:b/>
        </w:rPr>
      </w:pPr>
      <w:r>
        <w:rPr>
          <w:rFonts w:hint="eastAsia"/>
          <w:b/>
        </w:rPr>
        <w:t>全面深化各項改革</w:t>
      </w:r>
    </w:p>
    <w:p w:rsidR="00AA067C" w:rsidRDefault="00DB0C74" w:rsidP="00AA067C">
      <w:pPr>
        <w:pStyle w:val="-"/>
        <w:numPr>
          <w:ilvl w:val="0"/>
          <w:numId w:val="10"/>
        </w:numPr>
        <w:spacing w:before="108" w:afterLines="0" w:after="0"/>
        <w:ind w:left="1004" w:firstLineChars="0" w:hanging="482"/>
        <w:rPr>
          <w:b/>
        </w:rPr>
      </w:pPr>
      <w:r>
        <w:rPr>
          <w:rFonts w:hint="eastAsia"/>
          <w:b/>
        </w:rPr>
        <w:t>確保實現預期</w:t>
      </w:r>
      <w:r w:rsidR="00DE1D40">
        <w:rPr>
          <w:rFonts w:hint="eastAsia"/>
          <w:b/>
        </w:rPr>
        <w:t>成長</w:t>
      </w:r>
      <w:r>
        <w:rPr>
          <w:rFonts w:hint="eastAsia"/>
          <w:b/>
        </w:rPr>
        <w:t>目標</w:t>
      </w:r>
    </w:p>
    <w:p w:rsidR="00AA067C" w:rsidRDefault="00DB0C74" w:rsidP="00AA067C">
      <w:pPr>
        <w:pStyle w:val="-"/>
        <w:numPr>
          <w:ilvl w:val="1"/>
          <w:numId w:val="12"/>
        </w:numPr>
        <w:spacing w:before="108" w:afterLines="0" w:after="0"/>
        <w:ind w:firstLineChars="0"/>
      </w:pPr>
      <w:r>
        <w:rPr>
          <w:rFonts w:hint="eastAsia"/>
        </w:rPr>
        <w:t>進一步健全宏觀調控政策體系</w:t>
      </w:r>
    </w:p>
    <w:p w:rsidR="00AA067C" w:rsidRDefault="00DB0C74" w:rsidP="00AA067C">
      <w:pPr>
        <w:pStyle w:val="-"/>
        <w:numPr>
          <w:ilvl w:val="1"/>
          <w:numId w:val="12"/>
        </w:numPr>
        <w:spacing w:before="108" w:afterLines="0" w:after="0"/>
        <w:ind w:firstLineChars="0"/>
      </w:pPr>
      <w:r>
        <w:rPr>
          <w:rFonts w:hint="eastAsia"/>
        </w:rPr>
        <w:t>積極防控並妥善化解財政金融風險</w:t>
      </w:r>
    </w:p>
    <w:p w:rsidR="00AA067C" w:rsidRDefault="00DB0C74" w:rsidP="00AA067C">
      <w:pPr>
        <w:pStyle w:val="-"/>
        <w:numPr>
          <w:ilvl w:val="1"/>
          <w:numId w:val="12"/>
        </w:numPr>
        <w:spacing w:before="108" w:afterLines="0" w:after="0"/>
        <w:ind w:firstLineChars="0"/>
      </w:pPr>
      <w:r>
        <w:rPr>
          <w:rFonts w:hint="eastAsia"/>
        </w:rPr>
        <w:t>構建中長期內在穩定</w:t>
      </w:r>
      <w:r w:rsidR="00DE1D40">
        <w:rPr>
          <w:rFonts w:hint="eastAsia"/>
        </w:rPr>
        <w:t>成長</w:t>
      </w:r>
      <w:r>
        <w:rPr>
          <w:rFonts w:hint="eastAsia"/>
        </w:rPr>
        <w:t>機制</w:t>
      </w:r>
    </w:p>
    <w:p w:rsidR="00AA067C" w:rsidRDefault="00DB0C74" w:rsidP="00AA067C">
      <w:pPr>
        <w:pStyle w:val="-"/>
        <w:numPr>
          <w:ilvl w:val="0"/>
          <w:numId w:val="10"/>
        </w:numPr>
        <w:spacing w:before="108" w:afterLines="0" w:after="0"/>
        <w:ind w:left="1004" w:firstLineChars="0" w:hanging="482"/>
        <w:rPr>
          <w:b/>
        </w:rPr>
      </w:pPr>
      <w:r>
        <w:rPr>
          <w:rFonts w:hint="eastAsia"/>
          <w:b/>
        </w:rPr>
        <w:t>加快推動產業結構升級</w:t>
      </w:r>
    </w:p>
    <w:p w:rsidR="00AA067C" w:rsidRDefault="00DB0C74" w:rsidP="00F80265">
      <w:pPr>
        <w:pStyle w:val="-"/>
        <w:numPr>
          <w:ilvl w:val="1"/>
          <w:numId w:val="12"/>
        </w:numPr>
        <w:spacing w:beforeLines="20" w:before="72" w:afterLines="0" w:after="0"/>
        <w:ind w:firstLineChars="0" w:hanging="482"/>
      </w:pPr>
      <w:r>
        <w:rPr>
          <w:rFonts w:hint="eastAsia"/>
        </w:rPr>
        <w:lastRenderedPageBreak/>
        <w:t>加快發展現代農業，夯實農業基礎地位</w:t>
      </w:r>
    </w:p>
    <w:p w:rsidR="00AA067C" w:rsidRDefault="00DB0C74" w:rsidP="00F80265">
      <w:pPr>
        <w:pStyle w:val="-"/>
        <w:numPr>
          <w:ilvl w:val="1"/>
          <w:numId w:val="12"/>
        </w:numPr>
        <w:spacing w:beforeLines="20" w:before="72" w:afterLines="0" w:after="0"/>
        <w:ind w:firstLineChars="0" w:hanging="482"/>
      </w:pPr>
      <w:r>
        <w:rPr>
          <w:rFonts w:hint="eastAsia"/>
        </w:rPr>
        <w:t>加快推進現代產業體系建設</w:t>
      </w:r>
    </w:p>
    <w:p w:rsidR="00AA067C" w:rsidRDefault="00DB0C74" w:rsidP="00F80265">
      <w:pPr>
        <w:pStyle w:val="-"/>
        <w:numPr>
          <w:ilvl w:val="1"/>
          <w:numId w:val="12"/>
        </w:numPr>
        <w:spacing w:beforeLines="20" w:before="72" w:afterLines="0" w:after="0"/>
        <w:ind w:firstLineChars="0" w:hanging="482"/>
      </w:pPr>
      <w:r>
        <w:rPr>
          <w:rFonts w:hint="eastAsia"/>
        </w:rPr>
        <w:t>積極培育動態比較優勢</w:t>
      </w:r>
    </w:p>
    <w:p w:rsidR="00AA067C" w:rsidRDefault="00DB0C74" w:rsidP="00F80265">
      <w:pPr>
        <w:pStyle w:val="-"/>
        <w:numPr>
          <w:ilvl w:val="1"/>
          <w:numId w:val="12"/>
        </w:numPr>
        <w:spacing w:beforeLines="20" w:before="72" w:afterLines="0" w:after="0"/>
        <w:ind w:firstLineChars="0" w:hanging="482"/>
      </w:pPr>
      <w:r>
        <w:rPr>
          <w:rFonts w:hint="eastAsia"/>
        </w:rPr>
        <w:t>完善產業政策實施機制</w:t>
      </w:r>
    </w:p>
    <w:p w:rsidR="00AA067C" w:rsidRDefault="00DB0C74" w:rsidP="00F80265">
      <w:pPr>
        <w:pStyle w:val="-"/>
        <w:numPr>
          <w:ilvl w:val="1"/>
          <w:numId w:val="12"/>
        </w:numPr>
        <w:spacing w:beforeLines="20" w:before="72" w:afterLines="0" w:after="0"/>
        <w:ind w:firstLineChars="0" w:hanging="482"/>
      </w:pPr>
      <w:r>
        <w:rPr>
          <w:rFonts w:hint="eastAsia"/>
        </w:rPr>
        <w:t>優化產業發展空間</w:t>
      </w:r>
      <w:r w:rsidR="00E41F3A">
        <w:rPr>
          <w:rFonts w:hint="eastAsia"/>
        </w:rPr>
        <w:t>布局</w:t>
      </w:r>
    </w:p>
    <w:p w:rsidR="00AA067C" w:rsidRDefault="00DB0C74" w:rsidP="00AA067C">
      <w:pPr>
        <w:pStyle w:val="-"/>
        <w:numPr>
          <w:ilvl w:val="0"/>
          <w:numId w:val="10"/>
        </w:numPr>
        <w:spacing w:before="108" w:afterLines="0" w:after="0"/>
        <w:ind w:left="1004" w:firstLineChars="0" w:hanging="482"/>
        <w:rPr>
          <w:b/>
        </w:rPr>
      </w:pPr>
      <w:r>
        <w:rPr>
          <w:rFonts w:hint="eastAsia"/>
          <w:b/>
        </w:rPr>
        <w:t>強化節能環保治理措施</w:t>
      </w:r>
    </w:p>
    <w:p w:rsidR="00AA067C" w:rsidRDefault="00DB0C74" w:rsidP="00F80265">
      <w:pPr>
        <w:pStyle w:val="-"/>
        <w:numPr>
          <w:ilvl w:val="1"/>
          <w:numId w:val="12"/>
        </w:numPr>
        <w:spacing w:beforeLines="20" w:before="72" w:afterLines="0" w:after="0"/>
        <w:ind w:firstLineChars="0" w:hanging="482"/>
      </w:pPr>
      <w:r>
        <w:rPr>
          <w:rFonts w:hint="eastAsia"/>
        </w:rPr>
        <w:t>強力推進節能降耗</w:t>
      </w:r>
    </w:p>
    <w:p w:rsidR="00AA067C" w:rsidRDefault="00DB0C74" w:rsidP="00F80265">
      <w:pPr>
        <w:pStyle w:val="-"/>
        <w:numPr>
          <w:ilvl w:val="1"/>
          <w:numId w:val="12"/>
        </w:numPr>
        <w:spacing w:beforeLines="20" w:before="72" w:afterLines="0" w:after="0"/>
        <w:ind w:firstLineChars="0" w:hanging="482"/>
      </w:pPr>
      <w:r>
        <w:rPr>
          <w:rFonts w:hint="eastAsia"/>
        </w:rPr>
        <w:t>加強突出環境問題治理</w:t>
      </w:r>
    </w:p>
    <w:p w:rsidR="00AA067C" w:rsidRDefault="00DB0C74" w:rsidP="00F80265">
      <w:pPr>
        <w:pStyle w:val="-"/>
        <w:numPr>
          <w:ilvl w:val="1"/>
          <w:numId w:val="12"/>
        </w:numPr>
        <w:spacing w:beforeLines="20" w:before="72" w:afterLines="0" w:after="0"/>
        <w:ind w:firstLineChars="0" w:hanging="482"/>
      </w:pPr>
      <w:r>
        <w:rPr>
          <w:rFonts w:hint="eastAsia"/>
        </w:rPr>
        <w:t>完善資源節約和生態環境保護模式</w:t>
      </w:r>
    </w:p>
    <w:p w:rsidR="00AA067C" w:rsidRDefault="00DB0C74" w:rsidP="00F80265">
      <w:pPr>
        <w:pStyle w:val="-"/>
        <w:numPr>
          <w:ilvl w:val="1"/>
          <w:numId w:val="12"/>
        </w:numPr>
        <w:spacing w:beforeLines="20" w:before="72" w:afterLines="0" w:after="0"/>
        <w:ind w:firstLineChars="0" w:hanging="482"/>
      </w:pPr>
      <w:r>
        <w:rPr>
          <w:rFonts w:hint="eastAsia"/>
        </w:rPr>
        <w:t>嚴格監管和執法</w:t>
      </w:r>
    </w:p>
    <w:p w:rsidR="00AA067C" w:rsidRDefault="00DB0C74" w:rsidP="00AA067C">
      <w:pPr>
        <w:pStyle w:val="-"/>
        <w:numPr>
          <w:ilvl w:val="0"/>
          <w:numId w:val="10"/>
        </w:numPr>
        <w:spacing w:before="108" w:afterLines="0" w:after="0"/>
        <w:ind w:left="1004" w:firstLineChars="0" w:hanging="482"/>
        <w:rPr>
          <w:b/>
        </w:rPr>
      </w:pPr>
      <w:r>
        <w:rPr>
          <w:rFonts w:hint="eastAsia"/>
          <w:b/>
        </w:rPr>
        <w:t>推進新型城鎮化發展</w:t>
      </w:r>
    </w:p>
    <w:p w:rsidR="00AA067C" w:rsidRDefault="00DB0C74" w:rsidP="00F80265">
      <w:pPr>
        <w:pStyle w:val="-"/>
        <w:numPr>
          <w:ilvl w:val="1"/>
          <w:numId w:val="12"/>
        </w:numPr>
        <w:spacing w:beforeLines="20" w:before="72" w:afterLines="0" w:after="0"/>
        <w:ind w:firstLineChars="0" w:hanging="482"/>
      </w:pPr>
      <w:r>
        <w:rPr>
          <w:rFonts w:hint="eastAsia"/>
        </w:rPr>
        <w:t>有序推進農業轉移人口市民化</w:t>
      </w:r>
    </w:p>
    <w:p w:rsidR="00AA067C" w:rsidRDefault="00DB0C74" w:rsidP="00F80265">
      <w:pPr>
        <w:pStyle w:val="-"/>
        <w:numPr>
          <w:ilvl w:val="1"/>
          <w:numId w:val="12"/>
        </w:numPr>
        <w:spacing w:beforeLines="20" w:before="72" w:afterLines="0" w:after="0"/>
        <w:ind w:firstLineChars="0" w:hanging="482"/>
      </w:pPr>
      <w:r>
        <w:rPr>
          <w:rFonts w:hint="eastAsia"/>
        </w:rPr>
        <w:t>優化城鎮化</w:t>
      </w:r>
      <w:r w:rsidR="00E41F3A">
        <w:rPr>
          <w:rFonts w:hint="eastAsia"/>
        </w:rPr>
        <w:t>布局</w:t>
      </w:r>
      <w:r>
        <w:rPr>
          <w:rFonts w:hint="eastAsia"/>
        </w:rPr>
        <w:t>和形態</w:t>
      </w:r>
    </w:p>
    <w:p w:rsidR="00AA067C" w:rsidRDefault="00DB0C74" w:rsidP="00F80265">
      <w:pPr>
        <w:pStyle w:val="-"/>
        <w:numPr>
          <w:ilvl w:val="1"/>
          <w:numId w:val="12"/>
        </w:numPr>
        <w:spacing w:beforeLines="20" w:before="72" w:afterLines="0" w:after="0"/>
        <w:ind w:firstLineChars="0" w:hanging="482"/>
      </w:pPr>
      <w:r>
        <w:rPr>
          <w:rFonts w:hint="eastAsia"/>
        </w:rPr>
        <w:t>提高城市可持續發展能力</w:t>
      </w:r>
    </w:p>
    <w:p w:rsidR="00AA067C" w:rsidRDefault="00DB0C74" w:rsidP="00F80265">
      <w:pPr>
        <w:pStyle w:val="-"/>
        <w:numPr>
          <w:ilvl w:val="1"/>
          <w:numId w:val="12"/>
        </w:numPr>
        <w:spacing w:beforeLines="20" w:before="72" w:afterLines="0" w:after="0"/>
        <w:ind w:firstLineChars="0" w:hanging="482"/>
      </w:pPr>
      <w:r>
        <w:rPr>
          <w:rFonts w:hint="eastAsia"/>
        </w:rPr>
        <w:t>推動城鄉發展一體化</w:t>
      </w:r>
    </w:p>
    <w:p w:rsidR="00AA067C" w:rsidRDefault="00DB0C74" w:rsidP="00AA067C">
      <w:pPr>
        <w:pStyle w:val="-"/>
        <w:numPr>
          <w:ilvl w:val="0"/>
          <w:numId w:val="10"/>
        </w:numPr>
        <w:spacing w:before="108" w:afterLines="0" w:after="0"/>
        <w:ind w:left="1004" w:firstLineChars="0" w:hanging="482"/>
        <w:rPr>
          <w:b/>
        </w:rPr>
      </w:pPr>
      <w:r>
        <w:rPr>
          <w:rFonts w:hint="eastAsia"/>
          <w:b/>
        </w:rPr>
        <w:t>完善區域協調發展機制</w:t>
      </w:r>
    </w:p>
    <w:p w:rsidR="00AA067C" w:rsidRDefault="00DB0C74" w:rsidP="00F80265">
      <w:pPr>
        <w:pStyle w:val="-"/>
        <w:numPr>
          <w:ilvl w:val="1"/>
          <w:numId w:val="12"/>
        </w:numPr>
        <w:spacing w:beforeLines="20" w:before="72" w:afterLines="0" w:after="0"/>
        <w:ind w:firstLineChars="0" w:hanging="482"/>
      </w:pPr>
      <w:r>
        <w:rPr>
          <w:rFonts w:hint="eastAsia"/>
        </w:rPr>
        <w:t>加快全國統一市場體系建設</w:t>
      </w:r>
    </w:p>
    <w:p w:rsidR="00AA067C" w:rsidRDefault="00DB0C74" w:rsidP="00F80265">
      <w:pPr>
        <w:pStyle w:val="-"/>
        <w:numPr>
          <w:ilvl w:val="1"/>
          <w:numId w:val="12"/>
        </w:numPr>
        <w:spacing w:beforeLines="20" w:before="72" w:afterLines="0" w:after="0"/>
        <w:ind w:firstLineChars="0" w:hanging="482"/>
      </w:pPr>
      <w:r>
        <w:rPr>
          <w:rFonts w:hint="eastAsia"/>
        </w:rPr>
        <w:t>健全主體功能區戰略和規劃實施機制</w:t>
      </w:r>
    </w:p>
    <w:p w:rsidR="00AA067C" w:rsidRDefault="00DB0C74" w:rsidP="00F80265">
      <w:pPr>
        <w:pStyle w:val="-"/>
        <w:numPr>
          <w:ilvl w:val="1"/>
          <w:numId w:val="12"/>
        </w:numPr>
        <w:spacing w:beforeLines="20" w:before="72" w:afterLines="0" w:after="0"/>
        <w:ind w:firstLineChars="0" w:hanging="482"/>
      </w:pPr>
      <w:r>
        <w:rPr>
          <w:rFonts w:hint="eastAsia"/>
        </w:rPr>
        <w:t>完善區域政策和區域規劃體系</w:t>
      </w:r>
    </w:p>
    <w:p w:rsidR="00AA067C" w:rsidRDefault="00DB0C74" w:rsidP="00AA067C">
      <w:pPr>
        <w:pStyle w:val="-"/>
        <w:numPr>
          <w:ilvl w:val="0"/>
          <w:numId w:val="10"/>
        </w:numPr>
        <w:spacing w:before="108" w:afterLines="0" w:after="0"/>
        <w:ind w:left="1004" w:firstLineChars="0" w:hanging="482"/>
        <w:rPr>
          <w:b/>
        </w:rPr>
      </w:pPr>
      <w:r>
        <w:rPr>
          <w:rFonts w:hint="eastAsia"/>
          <w:b/>
        </w:rPr>
        <w:t>進一步強化社會建設</w:t>
      </w:r>
    </w:p>
    <w:p w:rsidR="00AA067C" w:rsidRDefault="00DB0C74" w:rsidP="00F80265">
      <w:pPr>
        <w:pStyle w:val="-"/>
        <w:numPr>
          <w:ilvl w:val="1"/>
          <w:numId w:val="12"/>
        </w:numPr>
        <w:spacing w:beforeLines="20" w:before="72" w:afterLines="0" w:after="0"/>
        <w:ind w:firstLineChars="0" w:hanging="482"/>
      </w:pPr>
      <w:r>
        <w:rPr>
          <w:rFonts w:hint="eastAsia"/>
        </w:rPr>
        <w:t>大力推進基本公共服務均等化</w:t>
      </w:r>
    </w:p>
    <w:p w:rsidR="00AA067C" w:rsidRDefault="00DB0C74" w:rsidP="00F80265">
      <w:pPr>
        <w:pStyle w:val="-"/>
        <w:numPr>
          <w:ilvl w:val="1"/>
          <w:numId w:val="12"/>
        </w:numPr>
        <w:spacing w:beforeLines="20" w:before="72" w:afterLines="0" w:after="0"/>
        <w:ind w:firstLineChars="0" w:hanging="482"/>
      </w:pPr>
      <w:r>
        <w:rPr>
          <w:rFonts w:hint="eastAsia"/>
        </w:rPr>
        <w:t>創新社會治理體制</w:t>
      </w:r>
    </w:p>
    <w:p w:rsidR="00AA067C" w:rsidRDefault="00DB0C74" w:rsidP="00AA067C">
      <w:pPr>
        <w:pStyle w:val="-"/>
        <w:spacing w:before="108" w:after="108"/>
        <w:ind w:firstLine="520"/>
      </w:pPr>
      <w:r>
        <w:rPr>
          <w:rFonts w:hint="eastAsia"/>
        </w:rPr>
        <w:t>以上各項主要措施，可以視為「十二五規劃」下半時期的重新調整，</w:t>
      </w:r>
      <w:r>
        <w:rPr>
          <w:rFonts w:hint="eastAsia"/>
        </w:rPr>
        <w:lastRenderedPageBreak/>
        <w:t>主要是將其與十八大換屆後之新政策方向做一接軌，以便於能讓五年規劃內容與時俱進，配合新領導班子的新思維，延續至下一個五年規劃；例如在區域政策方面所提到要「推進長江經濟帶、絲綢之路經濟帶、環渤海經濟帶等重點區域的規劃建設和發展。」這些提法與詞彙都未曾見諸十二五規劃當中，而是新政的方向與定位。</w:t>
      </w:r>
    </w:p>
    <w:p w:rsidR="00AA067C" w:rsidRDefault="00DB0C74" w:rsidP="00AA067C">
      <w:pPr>
        <w:pStyle w:val="-"/>
        <w:spacing w:before="108" w:after="108"/>
        <w:ind w:firstLine="520"/>
      </w:pPr>
      <w:r>
        <w:rPr>
          <w:rFonts w:hint="eastAsia"/>
        </w:rPr>
        <w:t>此外，</w:t>
      </w:r>
      <w:r w:rsidR="00DE1D40">
        <w:rPr>
          <w:rFonts w:hint="eastAsia"/>
        </w:rPr>
        <w:t>臺</w:t>
      </w:r>
      <w:r>
        <w:rPr>
          <w:rFonts w:hint="eastAsia"/>
        </w:rPr>
        <w:t>商亦十分關切五年規劃之動向。</w:t>
      </w:r>
      <w:r w:rsidR="00DE1D40">
        <w:rPr>
          <w:rFonts w:hint="eastAsia"/>
        </w:rPr>
        <w:t>臺</w:t>
      </w:r>
      <w:r>
        <w:rPr>
          <w:rFonts w:hint="eastAsia"/>
        </w:rPr>
        <w:t>商投資中國大陸多年，也越來越清楚中國大陸五年規劃的規律與重要性，而十三五規劃以其承接三中全會深化改革任務與習李新政首份五年規劃的定位，自然也廣受</w:t>
      </w:r>
      <w:r w:rsidR="00DE1D40">
        <w:rPr>
          <w:rFonts w:hint="eastAsia"/>
        </w:rPr>
        <w:t>臺</w:t>
      </w:r>
      <w:r>
        <w:rPr>
          <w:rFonts w:hint="eastAsia"/>
        </w:rPr>
        <w:t>灣各界重視，而在其規劃形成過程就開始有所討論。而根據工商時報</w:t>
      </w:r>
      <w:r>
        <w:t>2014</w:t>
      </w:r>
      <w:r>
        <w:rPr>
          <w:rFonts w:hint="eastAsia"/>
        </w:rPr>
        <w:t>年</w:t>
      </w:r>
      <w:r>
        <w:t>10</w:t>
      </w:r>
      <w:r>
        <w:rPr>
          <w:rFonts w:hint="eastAsia"/>
        </w:rPr>
        <w:t>月</w:t>
      </w:r>
      <w:r>
        <w:t>4</w:t>
      </w:r>
      <w:r>
        <w:rPr>
          <w:rFonts w:hint="eastAsia"/>
        </w:rPr>
        <w:t>日之社論</w:t>
      </w:r>
      <w:r w:rsidR="00C47671">
        <w:rPr>
          <w:rStyle w:val="aff0"/>
        </w:rPr>
        <w:footnoteReference w:id="3"/>
      </w:r>
      <w:r>
        <w:rPr>
          <w:rFonts w:hint="eastAsia"/>
        </w:rPr>
        <w:t>，</w:t>
      </w:r>
      <w:r w:rsidR="00DE1D40">
        <w:rPr>
          <w:rFonts w:hint="eastAsia"/>
        </w:rPr>
        <w:t>臺</w:t>
      </w:r>
      <w:r>
        <w:rPr>
          <w:rFonts w:hint="eastAsia"/>
        </w:rPr>
        <w:t>商最關切的就是工資政策，因為在十二五前期，</w:t>
      </w:r>
      <w:r w:rsidR="00DE1D40">
        <w:rPr>
          <w:rFonts w:hint="eastAsia"/>
        </w:rPr>
        <w:t>臺</w:t>
      </w:r>
      <w:r>
        <w:rPr>
          <w:rFonts w:hint="eastAsia"/>
        </w:rPr>
        <w:t>商營運最重要的人力成本大幅攀升，造成許多營運的困難以及投資的轉向等。</w:t>
      </w:r>
    </w:p>
    <w:p w:rsidR="00AA067C" w:rsidRDefault="00DB0C74" w:rsidP="00AA067C">
      <w:pPr>
        <w:pStyle w:val="-"/>
        <w:spacing w:before="108" w:after="108"/>
        <w:ind w:firstLine="520"/>
        <w:rPr>
          <w:kern w:val="0"/>
        </w:rPr>
      </w:pPr>
      <w:r>
        <w:rPr>
          <w:rFonts w:hint="eastAsia"/>
        </w:rPr>
        <w:t>事實上，《十二五規劃綱要》中與工資有關之表述，包括在「拓寬農民增收渠道」乙章，要求要「</w:t>
      </w:r>
      <w:r>
        <w:rPr>
          <w:rFonts w:hAnsi="標楷體" w:hint="eastAsia"/>
          <w:kern w:val="0"/>
        </w:rPr>
        <w:t>提高農民工工資水準」；在「合理調整收入分配關係」乙章，提及要「完善最低工資和工資指導線制度，逐步提高最低工資標準」；並未具體提及最低工資提高速度。但稍後在</w:t>
      </w:r>
      <w:r>
        <w:rPr>
          <w:kern w:val="0"/>
        </w:rPr>
        <w:t>2012</w:t>
      </w:r>
      <w:r>
        <w:rPr>
          <w:rFonts w:hAnsi="標楷體" w:hint="eastAsia"/>
          <w:kern w:val="0"/>
        </w:rPr>
        <w:t>年</w:t>
      </w:r>
      <w:r>
        <w:rPr>
          <w:kern w:val="0"/>
        </w:rPr>
        <w:t>1</w:t>
      </w:r>
      <w:r>
        <w:rPr>
          <w:rFonts w:hAnsi="標楷體" w:hint="eastAsia"/>
          <w:kern w:val="0"/>
        </w:rPr>
        <w:t>月，</w:t>
      </w:r>
      <w:r w:rsidR="00F468EE">
        <w:rPr>
          <w:rFonts w:hAnsi="標楷體" w:hint="eastAsia"/>
          <w:kern w:val="0"/>
        </w:rPr>
        <w:t>中國大陸國務院</w:t>
      </w:r>
      <w:r>
        <w:rPr>
          <w:rFonts w:hAnsi="標楷體" w:hint="eastAsia"/>
          <w:kern w:val="0"/>
        </w:rPr>
        <w:t>發布史上首部關於促進就業的專項規劃：</w:t>
      </w:r>
      <w:r>
        <w:rPr>
          <w:rFonts w:hint="eastAsia"/>
        </w:rPr>
        <w:t>《促進就業規劃（</w:t>
      </w:r>
      <w:r>
        <w:t>2011-2015</w:t>
      </w:r>
      <w:r>
        <w:rPr>
          <w:rFonts w:hint="eastAsia"/>
        </w:rPr>
        <w:t>年）》。該規劃屬於十二</w:t>
      </w:r>
      <w:r>
        <w:rPr>
          <w:rFonts w:hAnsi="標楷體" w:hint="eastAsia"/>
          <w:kern w:val="0"/>
        </w:rPr>
        <w:t>五規劃下的專項規劃，其則列出了對十二五期間的就業指標要求，並指明要求「職工工資收入水準合理較快</w:t>
      </w:r>
      <w:r w:rsidR="00DE1D40">
        <w:rPr>
          <w:rFonts w:hAnsi="標楷體" w:hint="eastAsia"/>
          <w:kern w:val="0"/>
        </w:rPr>
        <w:t>成長</w:t>
      </w:r>
      <w:r>
        <w:rPr>
          <w:rFonts w:hAnsi="標楷體" w:hint="eastAsia"/>
          <w:kern w:val="0"/>
        </w:rPr>
        <w:t>，最低工資標準年均</w:t>
      </w:r>
      <w:r w:rsidR="00DE1D40">
        <w:rPr>
          <w:rFonts w:hAnsi="標楷體" w:hint="eastAsia"/>
          <w:kern w:val="0"/>
        </w:rPr>
        <w:t>成長</w:t>
      </w:r>
      <w:r>
        <w:rPr>
          <w:kern w:val="0"/>
        </w:rPr>
        <w:t>13%</w:t>
      </w:r>
      <w:r>
        <w:rPr>
          <w:rFonts w:hAnsi="標楷體" w:hint="eastAsia"/>
          <w:kern w:val="0"/>
        </w:rPr>
        <w:t>以上」，造成了「十二五規劃開始實行迄今，近</w:t>
      </w:r>
      <w:r>
        <w:rPr>
          <w:kern w:val="0"/>
        </w:rPr>
        <w:t>4</w:t>
      </w:r>
      <w:r>
        <w:rPr>
          <w:rFonts w:hAnsi="標楷體" w:hint="eastAsia"/>
          <w:kern w:val="0"/>
        </w:rPr>
        <w:t>年時間，大陸各省市最低工資平均漲幅，已達</w:t>
      </w:r>
      <w:r>
        <w:rPr>
          <w:kern w:val="0"/>
        </w:rPr>
        <w:t>6</w:t>
      </w:r>
      <w:r>
        <w:rPr>
          <w:rFonts w:hAnsi="標楷體" w:hint="eastAsia"/>
          <w:kern w:val="0"/>
        </w:rPr>
        <w:t>成左右，部分偏愛「超標完成任務」的省市，該項漲幅更是接近</w:t>
      </w:r>
      <w:r>
        <w:rPr>
          <w:kern w:val="0"/>
        </w:rPr>
        <w:t>7</w:t>
      </w:r>
      <w:r>
        <w:rPr>
          <w:rFonts w:hAnsi="標楷體" w:hint="eastAsia"/>
          <w:kern w:val="0"/>
        </w:rPr>
        <w:t>成。目前各省市最低工資標準（月薪），已普遍超越千元人民幣大關，其中最高的上海市、深圳市，都已超過</w:t>
      </w:r>
      <w:r>
        <w:rPr>
          <w:kern w:val="0"/>
        </w:rPr>
        <w:t>1,800</w:t>
      </w:r>
      <w:r>
        <w:rPr>
          <w:rFonts w:hAnsi="標楷體" w:hint="eastAsia"/>
          <w:kern w:val="0"/>
        </w:rPr>
        <w:t>元。」</w:t>
      </w:r>
      <w:r w:rsidR="00AA067C">
        <w:rPr>
          <w:rStyle w:val="aff0"/>
          <w:kern w:val="0"/>
        </w:rPr>
        <w:footnoteReference w:id="4"/>
      </w:r>
    </w:p>
    <w:p w:rsidR="00AA067C" w:rsidRDefault="00DB0C74" w:rsidP="00AA067C">
      <w:pPr>
        <w:pStyle w:val="-"/>
        <w:spacing w:before="108" w:after="108"/>
        <w:ind w:firstLine="520"/>
      </w:pPr>
      <w:r>
        <w:rPr>
          <w:rFonts w:hint="eastAsia"/>
        </w:rPr>
        <w:lastRenderedPageBreak/>
        <w:t>所幸在《評估》中關於「加快推動產業結構升級」項下討論「積極培育動態比較優勢」時，已經提及要「採取措施應對人口紅利逐步弱化、勞動力成本明顯上升等挑戰，延緩傳統比較優勢的過快喪失。根據各地勞動力供求關係和生活成本上升狀況，彈性確定最低工資標準，減輕用工成本過快上漲壓力。」顯示中共在十二五規劃的實施中期，已經意識到此一工資上漲過快問題已影響到產業的發展，有意要延緩用工成本過快的上漲趨勢。基於十二五規劃評估乃十三五規劃之先導，我們可以合理預期十三五規劃將不會再過度強調工資的上漲，至少不會以行政力量硬性提高最低工資的方式為之。</w:t>
      </w:r>
    </w:p>
    <w:p w:rsidR="00AA067C" w:rsidRDefault="00DB0C74" w:rsidP="00F80265">
      <w:pPr>
        <w:pStyle w:val="3"/>
        <w:spacing w:beforeLines="100" w:before="360" w:after="72"/>
        <w:rPr>
          <w:rFonts w:ascii="Times New Roman" w:hAnsi="Times New Roman"/>
        </w:rPr>
      </w:pPr>
      <w:r>
        <w:rPr>
          <w:rFonts w:ascii="Times New Roman" w:hAnsi="Times New Roman" w:hint="eastAsia"/>
        </w:rPr>
        <w:t>貳、十三五規劃前期研究動向</w:t>
      </w:r>
    </w:p>
    <w:p w:rsidR="00AA067C" w:rsidRDefault="00DB0C74" w:rsidP="00AA067C">
      <w:pPr>
        <w:pStyle w:val="-"/>
        <w:spacing w:before="108" w:after="108"/>
        <w:ind w:firstLine="520"/>
      </w:pPr>
      <w:r>
        <w:rPr>
          <w:rFonts w:hint="eastAsia"/>
        </w:rPr>
        <w:t>根據前述，</w:t>
      </w:r>
      <w:r>
        <w:t>2014</w:t>
      </w:r>
      <w:r>
        <w:rPr>
          <w:rFonts w:hint="eastAsia"/>
        </w:rPr>
        <w:t>年是十三五規劃前期研究的主要時間段，但這些前期研究多屬於內部過程，即便是向外遴選重大課題研究的進行單位，亦僅止</w:t>
      </w:r>
      <w:r w:rsidRPr="00C74F59">
        <w:rPr>
          <w:rFonts w:hint="eastAsia"/>
        </w:rPr>
        <w:t>於</w:t>
      </w:r>
      <w:r w:rsidR="007B11B8" w:rsidRPr="00C74F59">
        <w:rPr>
          <w:rFonts w:hint="eastAsia"/>
        </w:rPr>
        <w:t>公布</w:t>
      </w:r>
      <w:r w:rsidRPr="00C74F59">
        <w:rPr>
          <w:rFonts w:hint="eastAsia"/>
        </w:rPr>
        <w:t>重大課題名稱以及進行單位。根據中國</w:t>
      </w:r>
      <w:r w:rsidR="005F5D55" w:rsidRPr="00C74F59">
        <w:rPr>
          <w:rFonts w:hint="eastAsia"/>
        </w:rPr>
        <w:t>大陸</w:t>
      </w:r>
      <w:r w:rsidRPr="00C74F59">
        <w:rPr>
          <w:rFonts w:hint="eastAsia"/>
        </w:rPr>
        <w:t>國家發展</w:t>
      </w:r>
      <w:r w:rsidR="004C158C" w:rsidRPr="00C74F59">
        <w:rPr>
          <w:rFonts w:hint="eastAsia"/>
        </w:rPr>
        <w:t>和改革委員會</w:t>
      </w:r>
      <w:r>
        <w:rPr>
          <w:rFonts w:hint="eastAsia"/>
        </w:rPr>
        <w:t>規劃司於</w:t>
      </w:r>
      <w:r>
        <w:t>2014</w:t>
      </w:r>
      <w:r>
        <w:rPr>
          <w:rFonts w:hint="eastAsia"/>
        </w:rPr>
        <w:t>年</w:t>
      </w:r>
      <w:r>
        <w:t>5</w:t>
      </w:r>
      <w:r>
        <w:rPr>
          <w:rFonts w:hint="eastAsia"/>
        </w:rPr>
        <w:t>月</w:t>
      </w:r>
      <w:r>
        <w:t>20</w:t>
      </w:r>
      <w:r>
        <w:rPr>
          <w:rFonts w:hint="eastAsia"/>
        </w:rPr>
        <w:t>日網站</w:t>
      </w:r>
      <w:r w:rsidR="0090432D">
        <w:rPr>
          <w:rFonts w:hint="eastAsia"/>
        </w:rPr>
        <w:t>發布</w:t>
      </w:r>
      <w:r>
        <w:rPr>
          <w:rFonts w:hint="eastAsia"/>
        </w:rPr>
        <w:t>之公開遴選入選單位公告，十三五規劃前期研究重大課題一共委託</w:t>
      </w:r>
      <w:r>
        <w:t>27</w:t>
      </w:r>
      <w:r>
        <w:rPr>
          <w:rFonts w:hint="eastAsia"/>
        </w:rPr>
        <w:t>個研究單位進行</w:t>
      </w:r>
      <w:r>
        <w:t>26</w:t>
      </w:r>
      <w:r>
        <w:rPr>
          <w:rFonts w:hint="eastAsia"/>
        </w:rPr>
        <w:t>項研究，應已於</w:t>
      </w:r>
      <w:r>
        <w:t>2014</w:t>
      </w:r>
      <w:r>
        <w:rPr>
          <w:rFonts w:hint="eastAsia"/>
        </w:rPr>
        <w:t>年</w:t>
      </w:r>
      <w:r>
        <w:t>8</w:t>
      </w:r>
      <w:r>
        <w:rPr>
          <w:rFonts w:hint="eastAsia"/>
        </w:rPr>
        <w:t>月底完成最終研究報告。由於規劃之前期研究屬於內部過程，目前為止亦未見到任何最終研究報告對外公開，但我們仍可藉由其研究題目來大致管窺十三五規劃可能較為重視的方向。</w:t>
      </w:r>
      <w:r>
        <w:t>26</w:t>
      </w:r>
      <w:r>
        <w:rPr>
          <w:rFonts w:hint="eastAsia"/>
        </w:rPr>
        <w:t>項研究題目列於下：</w:t>
      </w:r>
    </w:p>
    <w:p w:rsidR="00AA067C" w:rsidRDefault="00DB0C74" w:rsidP="00AA067C">
      <w:pPr>
        <w:pStyle w:val="-"/>
        <w:numPr>
          <w:ilvl w:val="0"/>
          <w:numId w:val="10"/>
        </w:numPr>
        <w:spacing w:before="108" w:afterLines="0" w:after="0"/>
        <w:ind w:left="1004" w:firstLineChars="0" w:hanging="482"/>
      </w:pPr>
      <w:r>
        <w:rPr>
          <w:rFonts w:hint="eastAsia"/>
        </w:rPr>
        <w:t>“十三五”國際環境變化及對我國發展的影響</w:t>
      </w:r>
    </w:p>
    <w:p w:rsidR="00AA067C" w:rsidRDefault="00DB0C74" w:rsidP="00AA067C">
      <w:pPr>
        <w:pStyle w:val="-"/>
        <w:numPr>
          <w:ilvl w:val="0"/>
          <w:numId w:val="10"/>
        </w:numPr>
        <w:spacing w:before="108" w:afterLines="0" w:after="0"/>
        <w:ind w:left="1004" w:firstLineChars="0" w:hanging="482"/>
      </w:pPr>
      <w:r>
        <w:rPr>
          <w:rFonts w:hint="eastAsia"/>
        </w:rPr>
        <w:t>“十三五”經濟轉型升級動力機制和制度環境研究</w:t>
      </w:r>
    </w:p>
    <w:p w:rsidR="00AA067C" w:rsidRDefault="00DB0C74" w:rsidP="00AA067C">
      <w:pPr>
        <w:pStyle w:val="-"/>
        <w:numPr>
          <w:ilvl w:val="0"/>
          <w:numId w:val="10"/>
        </w:numPr>
        <w:spacing w:before="108" w:afterLines="0" w:after="0"/>
        <w:ind w:left="1004" w:firstLineChars="0" w:hanging="482"/>
      </w:pPr>
      <w:r>
        <w:rPr>
          <w:rFonts w:hint="eastAsia"/>
        </w:rPr>
        <w:t>“十三五”創新驅動的戰略重點與創新型國家建設研究</w:t>
      </w:r>
    </w:p>
    <w:p w:rsidR="00AA067C" w:rsidRDefault="00DB0C74" w:rsidP="00AA067C">
      <w:pPr>
        <w:pStyle w:val="-"/>
        <w:numPr>
          <w:ilvl w:val="0"/>
          <w:numId w:val="10"/>
        </w:numPr>
        <w:spacing w:before="108" w:afterLines="0" w:after="0"/>
        <w:ind w:left="1004" w:firstLineChars="0" w:hanging="482"/>
      </w:pPr>
      <w:r>
        <w:rPr>
          <w:rFonts w:hint="eastAsia"/>
        </w:rPr>
        <w:t>“十三五”推進教育現代化與人才強國、人力資源強國建設研究</w:t>
      </w:r>
    </w:p>
    <w:p w:rsidR="00AA067C" w:rsidRDefault="00DB0C74" w:rsidP="00AA067C">
      <w:pPr>
        <w:pStyle w:val="-"/>
        <w:numPr>
          <w:ilvl w:val="0"/>
          <w:numId w:val="10"/>
        </w:numPr>
        <w:spacing w:before="108" w:afterLines="0" w:after="0"/>
        <w:ind w:left="1004" w:firstLineChars="0" w:hanging="482"/>
      </w:pPr>
      <w:r>
        <w:rPr>
          <w:rFonts w:hint="eastAsia"/>
        </w:rPr>
        <w:t>“十三五”經濟結構調整的主攻方向和戰略舉措研究</w:t>
      </w:r>
    </w:p>
    <w:p w:rsidR="00AA067C" w:rsidRDefault="00DB0C74" w:rsidP="00AA067C">
      <w:pPr>
        <w:pStyle w:val="-"/>
        <w:numPr>
          <w:ilvl w:val="0"/>
          <w:numId w:val="10"/>
        </w:numPr>
        <w:spacing w:before="108" w:afterLines="0" w:after="0"/>
        <w:ind w:left="1004" w:firstLineChars="0" w:hanging="482"/>
      </w:pPr>
      <w:r>
        <w:rPr>
          <w:rFonts w:hint="eastAsia"/>
        </w:rPr>
        <w:t>“十三五”擴大消費需求長效機制研究</w:t>
      </w:r>
    </w:p>
    <w:p w:rsidR="00AA067C" w:rsidRDefault="00DB0C74" w:rsidP="00AA067C">
      <w:pPr>
        <w:pStyle w:val="-"/>
        <w:numPr>
          <w:ilvl w:val="0"/>
          <w:numId w:val="10"/>
        </w:numPr>
        <w:spacing w:before="108" w:afterLines="0" w:after="0"/>
        <w:ind w:left="1004" w:firstLineChars="0" w:hanging="482"/>
      </w:pPr>
      <w:r>
        <w:rPr>
          <w:rFonts w:hint="eastAsia"/>
        </w:rPr>
        <w:lastRenderedPageBreak/>
        <w:t>“十三五”工業結構升級與</w:t>
      </w:r>
      <w:r w:rsidR="00E41F3A">
        <w:rPr>
          <w:rFonts w:hint="eastAsia"/>
        </w:rPr>
        <w:t>布局</w:t>
      </w:r>
      <w:r>
        <w:rPr>
          <w:rFonts w:hint="eastAsia"/>
        </w:rPr>
        <w:t>優化研究</w:t>
      </w:r>
    </w:p>
    <w:p w:rsidR="00AA067C" w:rsidRDefault="00DB0C74" w:rsidP="00AA067C">
      <w:pPr>
        <w:pStyle w:val="-"/>
        <w:numPr>
          <w:ilvl w:val="0"/>
          <w:numId w:val="10"/>
        </w:numPr>
        <w:spacing w:before="108" w:afterLines="0" w:after="0"/>
        <w:ind w:left="1004" w:firstLineChars="0" w:hanging="482"/>
      </w:pPr>
      <w:r>
        <w:rPr>
          <w:rFonts w:hint="eastAsia"/>
        </w:rPr>
        <w:t>“十三五”現代農業發展戰略與糧食安全戰略研究</w:t>
      </w:r>
    </w:p>
    <w:p w:rsidR="00AA067C" w:rsidRDefault="00DB0C74" w:rsidP="00AA067C">
      <w:pPr>
        <w:pStyle w:val="-"/>
        <w:numPr>
          <w:ilvl w:val="0"/>
          <w:numId w:val="10"/>
        </w:numPr>
        <w:spacing w:before="108" w:afterLines="0" w:after="0"/>
        <w:ind w:left="1004" w:firstLineChars="0" w:hanging="482"/>
      </w:pPr>
      <w:r>
        <w:rPr>
          <w:rFonts w:hint="eastAsia"/>
        </w:rPr>
        <w:t>“十三五”信息經濟發展研究</w:t>
      </w:r>
    </w:p>
    <w:p w:rsidR="00AA067C" w:rsidRDefault="00DB0C74" w:rsidP="00AA067C">
      <w:pPr>
        <w:pStyle w:val="-"/>
        <w:numPr>
          <w:ilvl w:val="0"/>
          <w:numId w:val="10"/>
        </w:numPr>
        <w:spacing w:before="108" w:afterLines="0" w:after="0"/>
        <w:ind w:left="1004" w:firstLineChars="0" w:hanging="482"/>
      </w:pPr>
      <w:r>
        <w:rPr>
          <w:rFonts w:hint="eastAsia"/>
        </w:rPr>
        <w:t>“十三五”戰略性新興產業發展研究</w:t>
      </w:r>
    </w:p>
    <w:p w:rsidR="00AA067C" w:rsidRDefault="00DB0C74" w:rsidP="00AA067C">
      <w:pPr>
        <w:pStyle w:val="-"/>
        <w:numPr>
          <w:ilvl w:val="0"/>
          <w:numId w:val="10"/>
        </w:numPr>
        <w:spacing w:before="108" w:afterLines="0" w:after="0"/>
        <w:ind w:left="1004" w:firstLineChars="0" w:hanging="482"/>
      </w:pPr>
      <w:r>
        <w:rPr>
          <w:rFonts w:hint="eastAsia"/>
        </w:rPr>
        <w:t>“十三五”服務業發展重點和機制研究</w:t>
      </w:r>
    </w:p>
    <w:p w:rsidR="00AA067C" w:rsidRDefault="00DB0C74" w:rsidP="00AA067C">
      <w:pPr>
        <w:pStyle w:val="-"/>
        <w:numPr>
          <w:ilvl w:val="0"/>
          <w:numId w:val="10"/>
        </w:numPr>
        <w:spacing w:before="108" w:afterLines="0" w:after="0"/>
        <w:ind w:left="1004" w:firstLineChars="0" w:hanging="482"/>
      </w:pPr>
      <w:r>
        <w:rPr>
          <w:rFonts w:hint="eastAsia"/>
        </w:rPr>
        <w:t>“十三五”住房保障體系與房地產健康發展研究</w:t>
      </w:r>
    </w:p>
    <w:p w:rsidR="00AA067C" w:rsidRDefault="00DB0C74" w:rsidP="00AA067C">
      <w:pPr>
        <w:pStyle w:val="-"/>
        <w:numPr>
          <w:ilvl w:val="0"/>
          <w:numId w:val="10"/>
        </w:numPr>
        <w:spacing w:before="108" w:afterLines="0" w:after="0"/>
        <w:ind w:left="1004" w:firstLineChars="0" w:hanging="482"/>
      </w:pPr>
      <w:r>
        <w:rPr>
          <w:rFonts w:hint="eastAsia"/>
        </w:rPr>
        <w:t>“十三五”我國區域發展重點和區域協調發展機制研究</w:t>
      </w:r>
    </w:p>
    <w:p w:rsidR="00AA067C" w:rsidRDefault="00DB0C74" w:rsidP="00AA067C">
      <w:pPr>
        <w:pStyle w:val="-"/>
        <w:numPr>
          <w:ilvl w:val="0"/>
          <w:numId w:val="10"/>
        </w:numPr>
        <w:spacing w:before="108" w:afterLines="0" w:after="0"/>
        <w:ind w:left="1004" w:firstLineChars="0" w:hanging="482"/>
      </w:pPr>
      <w:r>
        <w:rPr>
          <w:rFonts w:hint="eastAsia"/>
        </w:rPr>
        <w:t>“十三五”生態文明建設及制度研究</w:t>
      </w:r>
    </w:p>
    <w:p w:rsidR="00AA067C" w:rsidRDefault="00DB0C74" w:rsidP="00AA067C">
      <w:pPr>
        <w:pStyle w:val="-"/>
        <w:numPr>
          <w:ilvl w:val="0"/>
          <w:numId w:val="10"/>
        </w:numPr>
        <w:spacing w:before="108" w:afterLines="0" w:after="0"/>
        <w:ind w:left="1004" w:firstLineChars="0" w:hanging="482"/>
      </w:pPr>
      <w:r>
        <w:rPr>
          <w:rFonts w:hint="eastAsia"/>
        </w:rPr>
        <w:t>“十三五”建設社會主義文化強國研究</w:t>
      </w:r>
    </w:p>
    <w:p w:rsidR="00AA067C" w:rsidRDefault="00DB0C74" w:rsidP="00AA067C">
      <w:pPr>
        <w:pStyle w:val="-"/>
        <w:numPr>
          <w:ilvl w:val="0"/>
          <w:numId w:val="10"/>
        </w:numPr>
        <w:spacing w:before="108" w:afterLines="0" w:after="0"/>
        <w:ind w:left="1004" w:firstLineChars="0" w:hanging="482"/>
      </w:pPr>
      <w:r>
        <w:rPr>
          <w:rFonts w:hint="eastAsia"/>
        </w:rPr>
        <w:t>“十三五”人口發展戰略和政策研究</w:t>
      </w:r>
    </w:p>
    <w:p w:rsidR="00AA067C" w:rsidRDefault="00DB0C74" w:rsidP="00AA067C">
      <w:pPr>
        <w:pStyle w:val="-"/>
        <w:numPr>
          <w:ilvl w:val="0"/>
          <w:numId w:val="10"/>
        </w:numPr>
        <w:spacing w:before="108" w:afterLines="0" w:after="0"/>
        <w:ind w:left="1004" w:firstLineChars="0" w:hanging="482"/>
      </w:pPr>
      <w:r>
        <w:rPr>
          <w:rFonts w:hint="eastAsia"/>
        </w:rPr>
        <w:t>“十三五”健康保障發展問題研究</w:t>
      </w:r>
    </w:p>
    <w:p w:rsidR="00AA067C" w:rsidRDefault="00DB0C74" w:rsidP="00AA067C">
      <w:pPr>
        <w:pStyle w:val="-"/>
        <w:numPr>
          <w:ilvl w:val="0"/>
          <w:numId w:val="10"/>
        </w:numPr>
        <w:spacing w:before="108" w:afterLines="0" w:after="0"/>
        <w:ind w:left="1004" w:firstLineChars="0" w:hanging="482"/>
      </w:pPr>
      <w:r>
        <w:rPr>
          <w:rFonts w:hint="eastAsia"/>
        </w:rPr>
        <w:t>“十三五”完善扶貧脫貧機制研究</w:t>
      </w:r>
    </w:p>
    <w:p w:rsidR="00AA067C" w:rsidRDefault="00DB0C74" w:rsidP="00AA067C">
      <w:pPr>
        <w:pStyle w:val="-"/>
        <w:numPr>
          <w:ilvl w:val="0"/>
          <w:numId w:val="10"/>
        </w:numPr>
        <w:spacing w:before="108" w:afterLines="0" w:after="0"/>
        <w:ind w:left="1004" w:firstLineChars="0" w:hanging="482"/>
      </w:pPr>
      <w:r>
        <w:rPr>
          <w:rFonts w:hint="eastAsia"/>
        </w:rPr>
        <w:t>“十三五”公共服務重點和財政保障機制研究</w:t>
      </w:r>
    </w:p>
    <w:p w:rsidR="00AA067C" w:rsidRDefault="00DB0C74" w:rsidP="00AA067C">
      <w:pPr>
        <w:pStyle w:val="-"/>
        <w:numPr>
          <w:ilvl w:val="0"/>
          <w:numId w:val="10"/>
        </w:numPr>
        <w:spacing w:before="108" w:afterLines="0" w:after="0"/>
        <w:ind w:left="1004" w:firstLineChars="0" w:hanging="482"/>
      </w:pPr>
      <w:r>
        <w:rPr>
          <w:rFonts w:hint="eastAsia"/>
        </w:rPr>
        <w:t>“十三五”完善金融市場體系和風險防範研究</w:t>
      </w:r>
    </w:p>
    <w:p w:rsidR="00AA067C" w:rsidRDefault="00DB0C74" w:rsidP="00AA067C">
      <w:pPr>
        <w:pStyle w:val="-"/>
        <w:numPr>
          <w:ilvl w:val="0"/>
          <w:numId w:val="10"/>
        </w:numPr>
        <w:spacing w:before="108" w:afterLines="0" w:after="0"/>
        <w:ind w:left="1004" w:firstLineChars="0" w:hanging="482"/>
      </w:pPr>
      <w:r>
        <w:rPr>
          <w:rFonts w:hint="eastAsia"/>
        </w:rPr>
        <w:t>“十三五”對外開放戰略及開放新格局研究</w:t>
      </w:r>
    </w:p>
    <w:p w:rsidR="00AA067C" w:rsidRDefault="00DB0C74" w:rsidP="00AA067C">
      <w:pPr>
        <w:pStyle w:val="-"/>
        <w:numPr>
          <w:ilvl w:val="0"/>
          <w:numId w:val="10"/>
        </w:numPr>
        <w:spacing w:before="108" w:afterLines="0" w:after="0"/>
        <w:ind w:left="1004" w:firstLineChars="0" w:hanging="482"/>
      </w:pPr>
      <w:r>
        <w:rPr>
          <w:rFonts w:hint="eastAsia"/>
        </w:rPr>
        <w:t>“十三五”我國企業“走出去”發展戰略研究</w:t>
      </w:r>
    </w:p>
    <w:p w:rsidR="00AA067C" w:rsidRDefault="00DB0C74" w:rsidP="00AA067C">
      <w:pPr>
        <w:pStyle w:val="-"/>
        <w:numPr>
          <w:ilvl w:val="0"/>
          <w:numId w:val="10"/>
        </w:numPr>
        <w:spacing w:before="108" w:afterLines="0" w:after="0"/>
        <w:ind w:left="1004" w:firstLineChars="0" w:hanging="482"/>
      </w:pPr>
      <w:r>
        <w:rPr>
          <w:rFonts w:hint="eastAsia"/>
        </w:rPr>
        <w:t>“十三五”統籌推進行政體制改革的思路和措施研究</w:t>
      </w:r>
    </w:p>
    <w:p w:rsidR="00AA067C" w:rsidRDefault="00DB0C74" w:rsidP="00AA067C">
      <w:pPr>
        <w:pStyle w:val="-"/>
        <w:numPr>
          <w:ilvl w:val="0"/>
          <w:numId w:val="10"/>
        </w:numPr>
        <w:spacing w:before="108" w:afterLines="0" w:after="0"/>
        <w:ind w:left="1004" w:firstLineChars="0" w:hanging="482"/>
      </w:pPr>
      <w:r>
        <w:rPr>
          <w:rFonts w:hint="eastAsia"/>
        </w:rPr>
        <w:t>“十三五”經濟體制改革的目標與任務</w:t>
      </w:r>
    </w:p>
    <w:p w:rsidR="00AA067C" w:rsidRDefault="00DB0C74" w:rsidP="00AA067C">
      <w:pPr>
        <w:pStyle w:val="-"/>
        <w:numPr>
          <w:ilvl w:val="0"/>
          <w:numId w:val="10"/>
        </w:numPr>
        <w:spacing w:before="108" w:afterLines="0" w:after="0"/>
        <w:ind w:left="1004" w:firstLineChars="0" w:hanging="482"/>
      </w:pPr>
      <w:r>
        <w:rPr>
          <w:rFonts w:hint="eastAsia"/>
        </w:rPr>
        <w:t>“十三五”土地制度改革與土地市場建設研究</w:t>
      </w:r>
    </w:p>
    <w:p w:rsidR="00AA067C" w:rsidRDefault="00DB0C74" w:rsidP="00AA067C">
      <w:pPr>
        <w:pStyle w:val="-"/>
        <w:numPr>
          <w:ilvl w:val="0"/>
          <w:numId w:val="10"/>
        </w:numPr>
        <w:spacing w:before="108" w:afterLines="0" w:after="0"/>
        <w:ind w:left="1004" w:firstLineChars="0" w:hanging="482"/>
      </w:pPr>
      <w:r>
        <w:rPr>
          <w:rFonts w:hint="eastAsia"/>
        </w:rPr>
        <w:t>“十三五”海洋生態文明建設及制度體系研究</w:t>
      </w:r>
    </w:p>
    <w:p w:rsidR="00AA067C" w:rsidRDefault="00DB0C74" w:rsidP="00AA067C">
      <w:pPr>
        <w:pStyle w:val="-"/>
        <w:spacing w:before="108" w:after="108"/>
        <w:ind w:firstLine="520"/>
      </w:pPr>
      <w:r>
        <w:rPr>
          <w:rFonts w:hint="eastAsia"/>
        </w:rPr>
        <w:t>由這些題目方向，可以看到十三五規劃重視改革、轉型、開放與安全等特色，其既呼應十二五規劃原本的發展脈絡，亦同時帶著十八</w:t>
      </w:r>
      <w:r w:rsidR="00CC46B2">
        <w:rPr>
          <w:rFonts w:hint="eastAsia"/>
        </w:rPr>
        <w:t>屆</w:t>
      </w:r>
      <w:r>
        <w:rPr>
          <w:rFonts w:hint="eastAsia"/>
        </w:rPr>
        <w:t>三中</w:t>
      </w:r>
      <w:r w:rsidR="00CC46B2">
        <w:rPr>
          <w:rFonts w:hint="eastAsia"/>
        </w:rPr>
        <w:t>全</w:t>
      </w:r>
      <w:r w:rsidR="00CC46B2">
        <w:rPr>
          <w:rFonts w:hint="eastAsia"/>
        </w:rPr>
        <w:lastRenderedPageBreak/>
        <w:t>會</w:t>
      </w:r>
      <w:r>
        <w:rPr>
          <w:rFonts w:hint="eastAsia"/>
        </w:rPr>
        <w:t>深化改革的推進任務。此外，</w:t>
      </w:r>
      <w:r>
        <w:t>26</w:t>
      </w:r>
      <w:r>
        <w:rPr>
          <w:rFonts w:hint="eastAsia"/>
        </w:rPr>
        <w:t>項研究題目中，僅「“十三五”創新驅動的戰略重點與創新型國家建設研究」</w:t>
      </w:r>
      <w:r>
        <w:t>1</w:t>
      </w:r>
      <w:r>
        <w:rPr>
          <w:rFonts w:hint="eastAsia"/>
        </w:rPr>
        <w:t>項是交給</w:t>
      </w:r>
      <w:r>
        <w:t>2</w:t>
      </w:r>
      <w:r>
        <w:rPr>
          <w:rFonts w:hint="eastAsia"/>
        </w:rPr>
        <w:t>個不同研究單位進行同一題目的探討，或許我們也可以解讀十三五規劃對於創新研發十分重視，且期待更多元的角度來提供建議。根據我們對於十二五規劃以及深化改革措施的理解，配合上述之研究題目，可以大致以「</w:t>
      </w:r>
      <w:r>
        <w:rPr>
          <w:rFonts w:hint="eastAsia"/>
          <w:b/>
        </w:rPr>
        <w:t>深化改革</w:t>
      </w:r>
      <w:r>
        <w:rPr>
          <w:rFonts w:hint="eastAsia"/>
        </w:rPr>
        <w:t>、</w:t>
      </w:r>
      <w:r>
        <w:rPr>
          <w:rFonts w:hint="eastAsia"/>
          <w:b/>
        </w:rPr>
        <w:t>創新轉型</w:t>
      </w:r>
      <w:r>
        <w:rPr>
          <w:rFonts w:hint="eastAsia"/>
        </w:rPr>
        <w:t>、</w:t>
      </w:r>
      <w:r>
        <w:rPr>
          <w:rFonts w:hint="eastAsia"/>
          <w:b/>
        </w:rPr>
        <w:t>積極開放</w:t>
      </w:r>
      <w:r>
        <w:rPr>
          <w:rFonts w:hint="eastAsia"/>
        </w:rPr>
        <w:t>、</w:t>
      </w:r>
      <w:r>
        <w:rPr>
          <w:rFonts w:hint="eastAsia"/>
          <w:b/>
        </w:rPr>
        <w:t>提升治理</w:t>
      </w:r>
      <w:r>
        <w:rPr>
          <w:rFonts w:hint="eastAsia"/>
        </w:rPr>
        <w:t>」等來預測十三五規劃之主要思維。當然，這些前期研究的方向也好，甚至是委託之研究報告也好，都還是規劃形成過程當中的參考，最終的內容也只有在預估於</w:t>
      </w:r>
      <w:r>
        <w:t>2015</w:t>
      </w:r>
      <w:r>
        <w:rPr>
          <w:rFonts w:hint="eastAsia"/>
        </w:rPr>
        <w:t>年</w:t>
      </w:r>
      <w:r>
        <w:t>10</w:t>
      </w:r>
      <w:r>
        <w:rPr>
          <w:rFonts w:hint="eastAsia"/>
        </w:rPr>
        <w:t>月進行的中共第十八屆五中全會</w:t>
      </w:r>
      <w:r w:rsidR="007B11B8">
        <w:rPr>
          <w:rFonts w:hint="eastAsia"/>
        </w:rPr>
        <w:t>公布</w:t>
      </w:r>
      <w:r>
        <w:rPr>
          <w:rFonts w:hint="eastAsia"/>
        </w:rPr>
        <w:t>《十三五規劃建議》之後，才會有比較正式的具體內容可以做為進一步分析的基礎。</w:t>
      </w:r>
    </w:p>
    <w:p w:rsidR="00AA067C" w:rsidRPr="00AA067C" w:rsidRDefault="00DB0C74" w:rsidP="00AA067C">
      <w:pPr>
        <w:pStyle w:val="-"/>
        <w:spacing w:before="108" w:after="108"/>
        <w:ind w:firstLine="520"/>
      </w:pPr>
      <w:r w:rsidRPr="00AA067C">
        <w:rPr>
          <w:rFonts w:hint="eastAsia"/>
        </w:rPr>
        <w:t>五年規劃一般是由</w:t>
      </w:r>
      <w:r w:rsidR="00EE24EE">
        <w:rPr>
          <w:rFonts w:hint="eastAsia"/>
        </w:rPr>
        <w:t>中國大陸國家發改委</w:t>
      </w:r>
      <w:r w:rsidRPr="00AA067C">
        <w:rPr>
          <w:rFonts w:hint="eastAsia"/>
        </w:rPr>
        <w:t>來主導，因為其組織任務之一即為「擬訂並組織實施國民經濟和社會發展戰略、中長期規劃和年度計劃。」但有專家指出，「今年從中央部門開始，對“十三五”規劃的要求就不同於過去。以往由</w:t>
      </w:r>
      <w:r w:rsidR="005F5D55">
        <w:rPr>
          <w:rFonts w:hint="eastAsia"/>
        </w:rPr>
        <w:t>中國大陸國家</w:t>
      </w:r>
      <w:r w:rsidRPr="00AA067C">
        <w:rPr>
          <w:rFonts w:hint="eastAsia"/>
        </w:rPr>
        <w:t>發改委統領的國家級五年規劃的格局，有可能會被打破。」</w:t>
      </w:r>
      <w:r w:rsidR="00AA067C" w:rsidRPr="00CC46B2">
        <w:rPr>
          <w:vertAlign w:val="superscript"/>
        </w:rPr>
        <w:footnoteReference w:id="5"/>
      </w:r>
      <w:r w:rsidRPr="00AA067C">
        <w:t xml:space="preserve"> </w:t>
      </w:r>
      <w:r w:rsidRPr="00AA067C">
        <w:rPr>
          <w:rFonts w:hint="eastAsia"/>
        </w:rPr>
        <w:t>該專家亦認為前期研究重大課題的招標不一定代表十三五規劃的最終議題，更不能代表其方向。此外，前述打破發改委主導的局面可能是以「更多權力和空間下放給各個部門或地方，以多樣化的研究來鼓勵創新，為未來五年的國家發展找到更多路徑選擇」來取代，以面對近年來複雜多變同時又迫切需要改革創新的經濟與社會形勢。由此觀之，或許各個地方與部門已先行進行之十三五規劃前期研究內容，有可能成為中央更重視的制度創新的想法來源，值得我們多加關注。</w:t>
      </w:r>
      <w:r w:rsidR="00AA067C" w:rsidRPr="00AA067C">
        <w:rPr>
          <w:rFonts w:hint="eastAsia"/>
        </w:rPr>
        <w:t xml:space="preserve"> </w:t>
      </w:r>
    </w:p>
    <w:p w:rsidR="00184771" w:rsidRDefault="00184771" w:rsidP="00F80265">
      <w:pPr>
        <w:pStyle w:val="2"/>
        <w:spacing w:beforeLines="150" w:before="540" w:after="108"/>
      </w:pPr>
      <w:bookmarkStart w:id="21" w:name="_Toc405462584"/>
      <w:r w:rsidRPr="001D0935">
        <w:rPr>
          <w:rFonts w:hint="eastAsia"/>
        </w:rPr>
        <w:t>第三節　新型城鎮化規劃</w:t>
      </w:r>
      <w:bookmarkEnd w:id="21"/>
    </w:p>
    <w:p w:rsidR="00184771" w:rsidRDefault="00DB0C74" w:rsidP="00184771">
      <w:pPr>
        <w:pStyle w:val="-"/>
        <w:spacing w:before="108" w:after="108"/>
        <w:ind w:firstLine="520"/>
      </w:pPr>
      <w:r>
        <w:rPr>
          <w:rFonts w:hint="eastAsia"/>
        </w:rPr>
        <w:t>中國大陸的城鎮化戰略最早於</w:t>
      </w:r>
      <w:r>
        <w:t>2001</w:t>
      </w:r>
      <w:r>
        <w:rPr>
          <w:rFonts w:hint="eastAsia"/>
        </w:rPr>
        <w:t>年十五計劃綱要中首次提出，在</w:t>
      </w:r>
      <w:r>
        <w:rPr>
          <w:rFonts w:hint="eastAsia"/>
        </w:rPr>
        <w:lastRenderedPageBreak/>
        <w:t>十八大換屆之後，新任的李克強總理大力提倡下，成為熱門的焦點議題之一。李克強認為城鎮化會是未來中國大陸經濟成長的「巨大引擎」</w:t>
      </w:r>
      <w:r w:rsidR="00C47671">
        <w:rPr>
          <w:rStyle w:val="aff0"/>
        </w:rPr>
        <w:footnoteReference w:id="6"/>
      </w:r>
      <w:r>
        <w:rPr>
          <w:rFonts w:hint="eastAsia"/>
        </w:rPr>
        <w:t>。再加上李克強為經濟學背景出身，他在北大的博士論文題目就是城鎮化，在</w:t>
      </w:r>
      <w:r>
        <w:t>2012</w:t>
      </w:r>
      <w:r>
        <w:rPr>
          <w:rFonts w:hint="eastAsia"/>
        </w:rPr>
        <w:t>年底習李政權</w:t>
      </w:r>
      <w:r w:rsidR="00CC46B2">
        <w:rPr>
          <w:rFonts w:hint="eastAsia"/>
        </w:rPr>
        <w:t>底</w:t>
      </w:r>
      <w:r>
        <w:rPr>
          <w:rFonts w:hint="eastAsia"/>
        </w:rPr>
        <w:t>定之後，李克強公開發表有許多關於城鎮化的談話，受到當時許多媒體的關注與解讀，當時大家引頸期盼的《國家新型城鎮化規劃》讓外界等了又等之後，也終於在</w:t>
      </w:r>
      <w:r>
        <w:t>2014</w:t>
      </w:r>
      <w:r>
        <w:rPr>
          <w:rFonts w:hint="eastAsia"/>
        </w:rPr>
        <w:t>年</w:t>
      </w:r>
      <w:r>
        <w:t>3</w:t>
      </w:r>
      <w:r>
        <w:rPr>
          <w:rFonts w:hint="eastAsia"/>
        </w:rPr>
        <w:t>月發布。</w:t>
      </w:r>
    </w:p>
    <w:p w:rsidR="003718F2" w:rsidRPr="00AF48ED" w:rsidRDefault="00DB0C74" w:rsidP="00F80265">
      <w:pPr>
        <w:pStyle w:val="3"/>
        <w:spacing w:beforeLines="100" w:before="360" w:after="72"/>
        <w:rPr>
          <w:rFonts w:ascii="Times New Roman" w:hAnsi="Times New Roman"/>
        </w:rPr>
      </w:pPr>
      <w:r>
        <w:rPr>
          <w:rFonts w:ascii="Times New Roman" w:hAnsi="Times New Roman" w:hint="eastAsia"/>
        </w:rPr>
        <w:t>壹</w:t>
      </w:r>
      <w:r w:rsidRPr="00AF48ED">
        <w:rPr>
          <w:rFonts w:ascii="Times New Roman" w:hAnsi="Times New Roman" w:hint="eastAsia"/>
        </w:rPr>
        <w:t>、</w:t>
      </w:r>
      <w:r>
        <w:rPr>
          <w:rFonts w:ascii="Times New Roman" w:hAnsi="Times New Roman" w:hint="eastAsia"/>
        </w:rPr>
        <w:t>城鎮化發展的現況與問題</w:t>
      </w:r>
    </w:p>
    <w:p w:rsidR="00625925" w:rsidRDefault="00DB0C74" w:rsidP="00625925">
      <w:pPr>
        <w:pStyle w:val="-"/>
        <w:spacing w:before="108" w:after="108"/>
        <w:ind w:firstLine="520"/>
      </w:pPr>
      <w:r>
        <w:rPr>
          <w:rFonts w:hint="eastAsia"/>
        </w:rPr>
        <w:t>城市化現象主要是在經濟發展過程當中，伴隨工業化發展的、一個自然的人口集中的現象，其多半是一種被動的過程，或至少是半被動的過程。因為城市化的主要動力來自於因為工業化發展而提高人們勞動分工的誘因，勞動分工造成人們在地理上的集中居住，而其中多半是因為高報酬而從農村農業活動中釋放出來的勞動力，因此進一步形成具有規模的城市，也提供許多服務業規模發展的機會，居民收入提高更進一步促進城市規模發展等，這是典型的城市正向發展故事。在此過程當中，負責提供公共服務的政府，通常會就著城市發展的需求，提供相應的基礎建設或公共服務，包括大眾交通、道路鐵軌、水電系統、公園與學校等。較具有前瞻性或積極性的政府，甚至可以且應該提早預估城市與產業的發展，透過都市計畫與公共建設來引導城市的良性發展。</w:t>
      </w:r>
    </w:p>
    <w:p w:rsidR="00625925" w:rsidRDefault="00DB0C74" w:rsidP="00625925">
      <w:pPr>
        <w:pStyle w:val="-"/>
        <w:spacing w:before="108" w:after="108"/>
        <w:ind w:firstLine="520"/>
      </w:pPr>
      <w:r>
        <w:rPr>
          <w:rFonts w:hint="eastAsia"/>
        </w:rPr>
        <w:t>中國大陸的城市化故事，因為種種因素使然，城市化的發展明顯落後於其工業化的進程。在經濟上進行改革開放之後，由於沿海外向型經濟的發展迅速，農村龐大的勞動力在壓抑數十年後找到出口，大量農民離鄉到沿海城市打工，獲取更好的收入，雖然因為戶籍制度的箝制，已經轉入非農行業就業的勞動者，在城市環境中生活再久也不能成為真正的「城裡人」，只能被稱為具有歧視性意味的「農民工」，但此一內部移民浪潮仍然持續</w:t>
      </w:r>
      <w:r>
        <w:rPr>
          <w:rFonts w:hint="eastAsia"/>
        </w:rPr>
        <w:lastRenderedPageBreak/>
        <w:t>至今，也造就了世界歷史上少見的大規模的快速城市化現象。</w:t>
      </w:r>
    </w:p>
    <w:p w:rsidR="00184771" w:rsidRDefault="00DB0C74" w:rsidP="00625925">
      <w:pPr>
        <w:pStyle w:val="-"/>
        <w:spacing w:before="108" w:after="108"/>
        <w:ind w:firstLine="520"/>
      </w:pPr>
      <w:r>
        <w:rPr>
          <w:rFonts w:hint="eastAsia"/>
        </w:rPr>
        <w:t>中國大陸的城鎮化率自</w:t>
      </w:r>
      <w:r>
        <w:t>1949</w:t>
      </w:r>
      <w:r>
        <w:rPr>
          <w:rFonts w:hint="eastAsia"/>
        </w:rPr>
        <w:t>年以來至</w:t>
      </w:r>
      <w:r>
        <w:t>1960</w:t>
      </w:r>
      <w:r>
        <w:rPr>
          <w:rFonts w:hint="eastAsia"/>
        </w:rPr>
        <w:t>年代中期，因為種種政治上的強</w:t>
      </w:r>
      <w:r w:rsidR="00CC46B2">
        <w:rPr>
          <w:rFonts w:hint="eastAsia"/>
        </w:rPr>
        <w:t>制</w:t>
      </w:r>
      <w:r>
        <w:rPr>
          <w:rFonts w:hint="eastAsia"/>
        </w:rPr>
        <w:t>作為而呈現大幅起落的現象，</w:t>
      </w:r>
      <w:r>
        <w:t>1958</w:t>
      </w:r>
      <w:r>
        <w:rPr>
          <w:rFonts w:hint="eastAsia"/>
        </w:rPr>
        <w:t>年起開始實施《戶口登記條例》，嚴格控管城鄉人口流動，此後至改革開放之前，人口城鎮化呈現停滯狀態。改革開放之後，由於經濟發展的需要，很快也開始有條件放寬農民至城鎮暫時居住，農民工現象隨著經濟持續成長而強化，（以常住人口來計算的）城鎮化率也穩定提高，至</w:t>
      </w:r>
      <w:r>
        <w:t>2003</w:t>
      </w:r>
      <w:r>
        <w:rPr>
          <w:rFonts w:hint="eastAsia"/>
        </w:rPr>
        <w:t>年已達到</w:t>
      </w:r>
      <w:r>
        <w:t>40.53%</w:t>
      </w:r>
      <w:r>
        <w:rPr>
          <w:rFonts w:hint="eastAsia"/>
        </w:rPr>
        <w:t>，十二五時期的第一年</w:t>
      </w:r>
      <w:r>
        <w:t>2011</w:t>
      </w:r>
      <w:r>
        <w:rPr>
          <w:rFonts w:hint="eastAsia"/>
        </w:rPr>
        <w:t>年就已經超過</w:t>
      </w:r>
      <w:r>
        <w:t>50%</w:t>
      </w:r>
      <w:r>
        <w:rPr>
          <w:rFonts w:hint="eastAsia"/>
        </w:rPr>
        <w:t>，達到</w:t>
      </w:r>
      <w:r>
        <w:t>51.27%</w:t>
      </w:r>
      <w:r>
        <w:rPr>
          <w:rFonts w:hint="eastAsia"/>
        </w:rPr>
        <w:t>；至</w:t>
      </w:r>
      <w:r>
        <w:t>2013</w:t>
      </w:r>
      <w:r>
        <w:rPr>
          <w:rFonts w:hint="eastAsia"/>
        </w:rPr>
        <w:t>年更達到</w:t>
      </w:r>
      <w:r>
        <w:t>53.7%</w:t>
      </w:r>
      <w:r>
        <w:rPr>
          <w:rFonts w:hint="eastAsia"/>
        </w:rPr>
        <w:t>。若單純從中國大陸官方所統計的城鎮化率（城鎮常住人口占總人口之比率）來看，約</w:t>
      </w:r>
      <w:r>
        <w:t>20</w:t>
      </w:r>
      <w:r>
        <w:rPr>
          <w:rFonts w:hint="eastAsia"/>
        </w:rPr>
        <w:t>年的時間之內，由</w:t>
      </w:r>
      <w:r>
        <w:t>1990</w:t>
      </w:r>
      <w:r>
        <w:rPr>
          <w:rFonts w:hint="eastAsia"/>
        </w:rPr>
        <w:t>年的</w:t>
      </w:r>
      <w:r>
        <w:t>26.4%</w:t>
      </w:r>
      <w:r>
        <w:rPr>
          <w:rFonts w:hint="eastAsia"/>
        </w:rPr>
        <w:t>上升到</w:t>
      </w:r>
      <w:r>
        <w:t>2010</w:t>
      </w:r>
      <w:r>
        <w:rPr>
          <w:rFonts w:hint="eastAsia"/>
        </w:rPr>
        <w:t>年的</w:t>
      </w:r>
      <w:r>
        <w:t>49.95%</w:t>
      </w:r>
      <w:r>
        <w:rPr>
          <w:rFonts w:hint="eastAsia"/>
        </w:rPr>
        <w:t>，提升超過</w:t>
      </w:r>
      <w:r>
        <w:t>20%</w:t>
      </w:r>
      <w:r>
        <w:rPr>
          <w:rFonts w:hint="eastAsia"/>
        </w:rPr>
        <w:t>（圖</w:t>
      </w:r>
      <w:r>
        <w:t>2-3</w:t>
      </w:r>
      <w:r>
        <w:rPr>
          <w:rFonts w:hint="eastAsia"/>
        </w:rPr>
        <w:t>）；城鎮人口也從</w:t>
      </w:r>
      <w:r>
        <w:t>3.02</w:t>
      </w:r>
      <w:r>
        <w:rPr>
          <w:rFonts w:hint="eastAsia"/>
        </w:rPr>
        <w:t>億變成</w:t>
      </w:r>
      <w:r>
        <w:t>6.7</w:t>
      </w:r>
      <w:r>
        <w:rPr>
          <w:rFonts w:hint="eastAsia"/>
        </w:rPr>
        <w:t>億，增加的城鎮人口總數超過世界上大部分國家的人口數，這種規模與速度在人類發展史上是史無前例的。</w:t>
      </w:r>
    </w:p>
    <w:p w:rsidR="00963EE9" w:rsidRDefault="00796180" w:rsidP="00625925">
      <w:pPr>
        <w:pStyle w:val="-"/>
        <w:spacing w:beforeLines="0" w:before="0" w:afterLines="0" w:after="0" w:line="240" w:lineRule="auto"/>
        <w:ind w:firstLineChars="0" w:firstLine="0"/>
        <w:jc w:val="center"/>
      </w:pPr>
      <w:r>
        <w:rPr>
          <w:noProof/>
        </w:rPr>
        <w:drawing>
          <wp:inline distT="0" distB="0" distL="0" distR="0">
            <wp:extent cx="5391150" cy="2879725"/>
            <wp:effectExtent l="0" t="0" r="0" b="0"/>
            <wp:docPr id="4" name="圖片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25925" w:rsidRPr="00624237" w:rsidRDefault="00DB0C74" w:rsidP="00625925">
      <w:pPr>
        <w:pStyle w:val="a9"/>
        <w:rPr>
          <w:lang w:val="en-US" w:eastAsia="zh-TW"/>
        </w:rPr>
      </w:pPr>
      <w:r w:rsidRPr="00624237">
        <w:rPr>
          <w:rFonts w:hint="eastAsia"/>
          <w:lang w:val="en-US" w:eastAsia="zh-TW"/>
        </w:rPr>
        <w:t>資料來源：中國統計年鑑、中國人口和就業統計年鑑、</w:t>
      </w:r>
      <w:r w:rsidRPr="00624237">
        <w:rPr>
          <w:lang w:val="en-US" w:eastAsia="zh-TW"/>
        </w:rPr>
        <w:t>2013</w:t>
      </w:r>
      <w:r w:rsidRPr="00624237">
        <w:rPr>
          <w:rFonts w:hint="eastAsia"/>
          <w:lang w:val="en-US" w:eastAsia="zh-TW"/>
        </w:rPr>
        <w:t>年統計公報。</w:t>
      </w:r>
    </w:p>
    <w:p w:rsidR="00625925" w:rsidRDefault="00DB0C74" w:rsidP="0095677D">
      <w:pPr>
        <w:pStyle w:val="af0"/>
      </w:pPr>
      <w:bookmarkStart w:id="22" w:name="_Toc388271419"/>
      <w:bookmarkStart w:id="23" w:name="_Toc405462618"/>
      <w:r w:rsidRPr="002D13F3">
        <w:rPr>
          <w:rFonts w:hint="eastAsia"/>
        </w:rPr>
        <w:t>圖</w:t>
      </w:r>
      <w:r>
        <w:t>2-3</w:t>
      </w:r>
      <w:r>
        <w:rPr>
          <w:rFonts w:hint="eastAsia"/>
        </w:rPr>
        <w:t xml:space="preserve">　中國大陸常住與戶籍人口城鎮化率：</w:t>
      </w:r>
      <w:bookmarkEnd w:id="22"/>
      <w:r>
        <w:t>1978-2013</w:t>
      </w:r>
      <w:r w:rsidR="0035101D">
        <w:rPr>
          <w:rFonts w:hint="eastAsia"/>
          <w:lang w:eastAsia="zh-TW"/>
        </w:rPr>
        <w:t>年</w:t>
      </w:r>
      <w:bookmarkEnd w:id="23"/>
    </w:p>
    <w:p w:rsidR="00625925" w:rsidRPr="00625925" w:rsidRDefault="00DB0C74" w:rsidP="00625925">
      <w:pPr>
        <w:pStyle w:val="-"/>
        <w:spacing w:before="108" w:after="108"/>
        <w:ind w:firstLine="520"/>
      </w:pPr>
      <w:r>
        <w:rPr>
          <w:rFonts w:hint="eastAsia"/>
        </w:rPr>
        <w:t>若是從戶口來計算城鎮人口，那此一城鎮化率將驟降至</w:t>
      </w:r>
      <w:r>
        <w:t>35.3%</w:t>
      </w:r>
      <w:r>
        <w:rPr>
          <w:rFonts w:hint="eastAsia"/>
        </w:rPr>
        <w:t>（</w:t>
      </w:r>
      <w:r>
        <w:t>2012</w:t>
      </w:r>
      <w:r>
        <w:rPr>
          <w:rFonts w:hint="eastAsia"/>
        </w:rPr>
        <w:t>年），兩者之間的差距超過</w:t>
      </w:r>
      <w:r>
        <w:t>17%</w:t>
      </w:r>
      <w:r>
        <w:rPr>
          <w:rFonts w:hint="eastAsia"/>
        </w:rPr>
        <w:t>，這也顯示了中國大陸特色城鎮化的內在</w:t>
      </w:r>
      <w:r>
        <w:rPr>
          <w:rFonts w:hint="eastAsia"/>
        </w:rPr>
        <w:lastRenderedPageBreak/>
        <w:t>問題，亦即外界所稱的「偽城市化」或「半城市化」的問題，因為構成城鎮化率的許多常住居民因為戶口在農村而無法享受等同城市居民的福利與權益，無法真正落地於此，進行正常的消費、投資置產、看病上學等。</w:t>
      </w:r>
    </w:p>
    <w:p w:rsidR="00625925" w:rsidRDefault="00DB0C74" w:rsidP="00625925">
      <w:pPr>
        <w:pStyle w:val="-"/>
        <w:spacing w:before="108" w:after="108"/>
        <w:ind w:firstLine="520"/>
      </w:pPr>
      <w:r>
        <w:rPr>
          <w:rFonts w:hint="eastAsia"/>
        </w:rPr>
        <w:t>此外，中國大陸城鎮化速度表面上看起來雖然很快，但主要是透過「撤地建市」、「縣改市」、「縣改區」、「鄉改鎮」等方式，更精確地說是一種「行政建制的城市化」，城市與建制鎮的行政單位數量遽增，在城鎮建設中，過分強調基礎設施，使得在總體的資源需求中，城市資源需求成長過快，加速了農業和農村資源的流失；此外，小城鎮的發展品質也不高，帶動農村經濟發展能力有限，甚至以佔用耕地侵佔農民利益為代價。我們可以說過去二三十年中國大陸所走的城鎮化道路基本上在於做大城鎮規劃、投資基礎設施網絡、興建工業園區，藉此讓農村變城鎮，並在此建設過程中吸收更多農村就業。這種以「物」為主的城鎮化，還是重在投資，可以推動經濟的高速成長，但資源環境和資金成本也非常高，而且會進一步加劇結構失衡，難以持續。</w:t>
      </w:r>
    </w:p>
    <w:p w:rsidR="003718F2" w:rsidRPr="00AF48ED" w:rsidRDefault="00DB0C74" w:rsidP="00F80265">
      <w:pPr>
        <w:pStyle w:val="3"/>
        <w:spacing w:beforeLines="100" w:before="360" w:after="72"/>
        <w:rPr>
          <w:rFonts w:ascii="Times New Roman" w:hAnsi="Times New Roman"/>
        </w:rPr>
      </w:pPr>
      <w:r>
        <w:rPr>
          <w:rFonts w:ascii="Times New Roman" w:hAnsi="Times New Roman" w:hint="eastAsia"/>
        </w:rPr>
        <w:t>貳</w:t>
      </w:r>
      <w:r w:rsidRPr="00AF48ED">
        <w:rPr>
          <w:rFonts w:ascii="Times New Roman" w:hAnsi="Times New Roman" w:hint="eastAsia"/>
        </w:rPr>
        <w:t>、</w:t>
      </w:r>
      <w:r w:rsidRPr="003718F2">
        <w:rPr>
          <w:rFonts w:ascii="Times New Roman" w:hAnsi="Times New Roman" w:hint="eastAsia"/>
        </w:rPr>
        <w:t>新型城鎮化規劃</w:t>
      </w:r>
      <w:r>
        <w:rPr>
          <w:rFonts w:ascii="Times New Roman" w:hAnsi="Times New Roman" w:hint="eastAsia"/>
        </w:rPr>
        <w:t>內涵</w:t>
      </w:r>
    </w:p>
    <w:p w:rsidR="00625925" w:rsidRDefault="00DB0C74" w:rsidP="00625925">
      <w:pPr>
        <w:pStyle w:val="-"/>
        <w:spacing w:before="108" w:after="108"/>
        <w:ind w:firstLine="520"/>
      </w:pPr>
      <w:r>
        <w:rPr>
          <w:rFonts w:hint="eastAsia"/>
        </w:rPr>
        <w:t>承上，習李新政希望透</w:t>
      </w:r>
      <w:r w:rsidR="005F5D55">
        <w:rPr>
          <w:rFonts w:hint="eastAsia"/>
        </w:rPr>
        <w:t>中國大陸</w:t>
      </w:r>
      <w:r>
        <w:rPr>
          <w:rFonts w:hint="eastAsia"/>
        </w:rPr>
        <w:t>國家整體戰略規劃，改變過去以物為主的建設方式，轉由強調以人為核心的新型城鎮化。將城鎮化水準和質量同步提升，目標</w:t>
      </w:r>
      <w:r>
        <w:t>2020</w:t>
      </w:r>
      <w:r>
        <w:rPr>
          <w:rFonts w:hint="eastAsia"/>
        </w:rPr>
        <w:t>年常住人口城鎮化率達</w:t>
      </w:r>
      <w:r>
        <w:t>60%</w:t>
      </w:r>
      <w:r>
        <w:rPr>
          <w:rFonts w:hint="eastAsia"/>
        </w:rPr>
        <w:t>左右，戶籍人口城鎮化率達</w:t>
      </w:r>
      <w:r>
        <w:t>45%</w:t>
      </w:r>
      <w:r>
        <w:rPr>
          <w:rFonts w:hint="eastAsia"/>
        </w:rPr>
        <w:t>左右，除了要提高城鎮化水準外，還試圖縮短兩者差距。其並認為城鎮化是市場的過程，政府則具有引導作用，但面臨許多深層次矛盾亟待破解，包括圍繞城鎮化發展所面臨的發展方式轉變和結構調整、土地節約集約利用、戶籍和社會管理、資源支撐和生態環保等問題。</w:t>
      </w:r>
    </w:p>
    <w:p w:rsidR="00625925" w:rsidRDefault="00DB0C74" w:rsidP="00625925">
      <w:pPr>
        <w:pStyle w:val="-"/>
        <w:spacing w:before="108" w:after="108"/>
        <w:ind w:firstLine="520"/>
      </w:pPr>
      <w:r>
        <w:t>2014</w:t>
      </w:r>
      <w:r>
        <w:rPr>
          <w:rFonts w:hint="eastAsia"/>
        </w:rPr>
        <w:t>年</w:t>
      </w:r>
      <w:r>
        <w:t>3</w:t>
      </w:r>
      <w:r>
        <w:rPr>
          <w:rFonts w:hint="eastAsia"/>
        </w:rPr>
        <w:t>月發布的《國家新型城鎮化規劃</w:t>
      </w:r>
      <w:r w:rsidRPr="00800317">
        <w:rPr>
          <w:rFonts w:hint="eastAsia"/>
        </w:rPr>
        <w:t>（</w:t>
      </w:r>
      <w:r w:rsidRPr="00800317">
        <w:t>2014</w:t>
      </w:r>
      <w:r w:rsidRPr="00800317">
        <w:rPr>
          <w:rFonts w:hint="eastAsia"/>
        </w:rPr>
        <w:t>－</w:t>
      </w:r>
      <w:r w:rsidRPr="00800317">
        <w:t>2020</w:t>
      </w:r>
      <w:r w:rsidRPr="00800317">
        <w:rPr>
          <w:rFonts w:hint="eastAsia"/>
        </w:rPr>
        <w:t>年）</w:t>
      </w:r>
      <w:r>
        <w:rPr>
          <w:rFonts w:hint="eastAsia"/>
        </w:rPr>
        <w:t>》內容涵蓋了許多面向，從戶籍制度、教育權利、社會保障、醫療衛生、住房保障、土地和資金管理、區位空間規劃、產業結構、社會治理、城市建設、城鄉</w:t>
      </w:r>
      <w:r>
        <w:rPr>
          <w:rFonts w:hint="eastAsia"/>
        </w:rPr>
        <w:lastRenderedPageBreak/>
        <w:t>融合等龐大又複雜的項目都提及，因此內容多屬概念性規劃，尚無太多細節，後續還有待相關的實行細則和配套措施出爐。以下先針對區位規劃和城市建設兩個面向進行討論，勾勒出中國大陸城鎮化空間的戰略</w:t>
      </w:r>
      <w:r w:rsidR="00E41F3A">
        <w:rPr>
          <w:rFonts w:hint="eastAsia"/>
        </w:rPr>
        <w:t>布局</w:t>
      </w:r>
      <w:r>
        <w:rPr>
          <w:rFonts w:hint="eastAsia"/>
        </w:rPr>
        <w:t>以及未來的硬體建設重點。</w:t>
      </w:r>
    </w:p>
    <w:p w:rsidR="00625925" w:rsidRDefault="00DB0C74" w:rsidP="00625925">
      <w:pPr>
        <w:pStyle w:val="-"/>
        <w:spacing w:before="108" w:after="108"/>
        <w:ind w:firstLine="520"/>
      </w:pPr>
      <w:r>
        <w:rPr>
          <w:rFonts w:hint="eastAsia"/>
        </w:rPr>
        <w:t>在區位規劃方面，依據《全國主體功能區規劃》確立的「兩橫三縱」是城鎮化戰略</w:t>
      </w:r>
      <w:r w:rsidR="00E41F3A">
        <w:rPr>
          <w:rFonts w:hint="eastAsia"/>
        </w:rPr>
        <w:t>布局</w:t>
      </w:r>
      <w:r>
        <w:rPr>
          <w:rFonts w:hint="eastAsia"/>
        </w:rPr>
        <w:t>與未來的核心骨架，兩條橫軸是由連雲港至新疆的隴海－蘭新線（又可稱歐亞大陸橋）、長江中下游沿線，三條縱軸為遼東半島至北部灣的沿海線、京哈京廣線、包昆通道；以主要的城市群為節點，軸線上其他城市化地區和城市為重要組成，大中小城市和小城鎮共同發展（圖</w:t>
      </w:r>
      <w:r>
        <w:t>2-4</w:t>
      </w:r>
      <w:r>
        <w:rPr>
          <w:rFonts w:hint="eastAsia"/>
        </w:rPr>
        <w:t>）。兩橫三縱是利用東部沿海地區的基礎提升中西部地區的城市群，以讓中國大陸整個區域均衡建設發展。也就是說，透過交通沿線的城市圈建設逐漸完善，東部地區的傳統產業往西部轉移，在產業轉移的發展過程中，慢慢形成城市圈，而城市圈又發揮著帶動和輻射作用，大城市帶動中小城市的發展。</w:t>
      </w:r>
    </w:p>
    <w:p w:rsidR="00E21593" w:rsidRDefault="00DB0C74" w:rsidP="00E21593">
      <w:pPr>
        <w:pStyle w:val="-"/>
        <w:spacing w:before="108" w:after="108"/>
        <w:ind w:firstLine="520"/>
      </w:pPr>
      <w:r>
        <w:rPr>
          <w:rFonts w:hint="eastAsia"/>
        </w:rPr>
        <w:t>《國家新型城鎮化規劃》當中關於城鎮化</w:t>
      </w:r>
      <w:r w:rsidR="00E41F3A">
        <w:rPr>
          <w:rFonts w:hint="eastAsia"/>
        </w:rPr>
        <w:t>布局</w:t>
      </w:r>
      <w:r>
        <w:rPr>
          <w:rFonts w:hint="eastAsia"/>
        </w:rPr>
        <w:t>，首先要提升東部地區既有的大城市群，並加強城市群內中小城市和小城鎮的群聚能力，將人口和產業從特大城市主城區向周邊和其他城鎮轉移。其次，引導中西部地區城市群承接東部地區的市場、產業和人口轉移，培育新的城市群，加快成渝、中原、長江中游、哈長等城市建設，並利用陸橋通道上的城市群和節點城市，建設絲綢之路經濟帶。第三，建立跨區域城市發展協調機制，破除行政壁壘和壟斷。第四，促進各類城市協調發展，增強中心城市輻射帶動功能，發展中小城市，並重點建設陸路邊境口岸城鎮。最後，強化綜合交通運輸網路，建設城市群之間、城市群內部綜合交通運輸網路，以及交通樞紐建設，並改善中小城市和小城鎮的交通條件。</w:t>
      </w:r>
    </w:p>
    <w:p w:rsidR="00625925" w:rsidRPr="00625925" w:rsidRDefault="00796180" w:rsidP="002F06F7">
      <w:pPr>
        <w:pStyle w:val="-"/>
        <w:spacing w:beforeLines="0" w:before="0" w:afterLines="0" w:after="0" w:line="240" w:lineRule="auto"/>
        <w:ind w:leftChars="-118" w:left="-283" w:firstLineChars="0" w:firstLine="0"/>
        <w:jc w:val="center"/>
        <w:rPr>
          <w:noProof/>
        </w:rPr>
      </w:pPr>
      <w:r>
        <w:rPr>
          <w:noProof/>
        </w:rPr>
        <w:lastRenderedPageBreak/>
        <mc:AlternateContent>
          <mc:Choice Requires="wps">
            <w:drawing>
              <wp:anchor distT="0" distB="0" distL="114300" distR="114300" simplePos="0" relativeHeight="19" behindDoc="0" locked="0" layoutInCell="1" allowOverlap="1">
                <wp:simplePos x="0" y="0"/>
                <wp:positionH relativeFrom="column">
                  <wp:posOffset>4058285</wp:posOffset>
                </wp:positionH>
                <wp:positionV relativeFrom="paragraph">
                  <wp:posOffset>3529965</wp:posOffset>
                </wp:positionV>
                <wp:extent cx="1390650" cy="351155"/>
                <wp:effectExtent l="0" t="0" r="0" b="0"/>
                <wp:wrapNone/>
                <wp:docPr id="51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511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margin-left:319.55pt;margin-top:277.95pt;width:109.5pt;height:27.6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" fillcolor="window" stroked="f" strokeweight="2pt">
                <v:path arrowok="t"/>
              </v:rect>
            </w:pict>
          </mc:Fallback>
        </mc:AlternateContent>
      </w:r>
      <w:r>
        <w:rPr>
          <w:noProof/>
        </w:rPr>
        <mc:AlternateContent>
          <mc:Choice Requires="wps">
            <w:drawing>
              <wp:anchor distT="0" distB="0" distL="114300" distR="114300" simplePos="0" relativeHeight="18" behindDoc="0" locked="0" layoutInCell="1" allowOverlap="1">
                <wp:simplePos x="0" y="0"/>
                <wp:positionH relativeFrom="column">
                  <wp:posOffset>307340</wp:posOffset>
                </wp:positionH>
                <wp:positionV relativeFrom="paragraph">
                  <wp:posOffset>3309620</wp:posOffset>
                </wp:positionV>
                <wp:extent cx="958215" cy="475615"/>
                <wp:effectExtent l="0" t="0" r="0" b="635"/>
                <wp:wrapNone/>
                <wp:docPr id="514"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4756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margin-left:24.2pt;margin-top:260.6pt;width:75.45pt;height:37.4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" fillcolor="window" stroked="f" strokeweight="2pt">
                <v:path arrowok="t"/>
              </v:rect>
            </w:pict>
          </mc:Fallback>
        </mc:AlternateContent>
      </w:r>
      <w:r>
        <w:rPr>
          <w:noProof/>
        </w:rPr>
        <mc:AlternateContent>
          <mc:Choice Requires="wps">
            <w:drawing>
              <wp:anchor distT="0" distB="0" distL="114300" distR="114300" simplePos="0" relativeHeight="17" behindDoc="0" locked="0" layoutInCell="1" allowOverlap="1">
                <wp:simplePos x="0" y="0"/>
                <wp:positionH relativeFrom="column">
                  <wp:posOffset>-149860</wp:posOffset>
                </wp:positionH>
                <wp:positionV relativeFrom="paragraph">
                  <wp:posOffset>3309620</wp:posOffset>
                </wp:positionV>
                <wp:extent cx="958215" cy="475615"/>
                <wp:effectExtent l="0" t="0" r="0" b="635"/>
                <wp:wrapNone/>
                <wp:docPr id="51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4756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margin-left:-11.8pt;margin-top:260.6pt;width:75.45pt;height:37.4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" fillcolor="window" stroked="f" strokeweight="2pt">
                <v:path arrowok="t"/>
              </v:rect>
            </w:pict>
          </mc:Fallback>
        </mc:AlternateContent>
      </w:r>
      <w:r>
        <w:rPr>
          <w:noProof/>
        </w:rPr>
        <mc:AlternateContent>
          <mc:Choice Requires="wps">
            <w:drawing>
              <wp:anchor distT="0" distB="0" distL="114300" distR="114300" simplePos="0" relativeHeight="16" behindDoc="0" locked="0" layoutInCell="1" allowOverlap="1">
                <wp:simplePos x="0" y="0"/>
                <wp:positionH relativeFrom="column">
                  <wp:posOffset>-15240</wp:posOffset>
                </wp:positionH>
                <wp:positionV relativeFrom="paragraph">
                  <wp:posOffset>254635</wp:posOffset>
                </wp:positionV>
                <wp:extent cx="958215" cy="475615"/>
                <wp:effectExtent l="0" t="0" r="0" b="635"/>
                <wp:wrapNone/>
                <wp:docPr id="512"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4756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margin-left:-1.2pt;margin-top:20.05pt;width:75.45pt;height:37.4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" fillcolor="window" stroked="f" strokeweight="2pt">
                <v:path arrowok="t"/>
              </v:rect>
            </w:pict>
          </mc:Fallback>
        </mc:AlternateContent>
      </w:r>
      <w:r>
        <w:rPr>
          <w:noProof/>
        </w:rPr>
        <w:drawing>
          <wp:inline distT="0" distB="0" distL="0" distR="0">
            <wp:extent cx="5650230" cy="3752850"/>
            <wp:effectExtent l="0" t="0" r="7620" b="0"/>
            <wp:docPr id="5" name="圖片 1" descr="http://ygmp.k618.cn/news/alls/201312/W02013121549355662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ygmp.k618.cn/news/alls/201312/W0201312154935566207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230" cy="3752850"/>
                    </a:xfrm>
                    <a:prstGeom prst="rect">
                      <a:avLst/>
                    </a:prstGeom>
                    <a:noFill/>
                    <a:ln>
                      <a:noFill/>
                    </a:ln>
                  </pic:spPr>
                </pic:pic>
              </a:graphicData>
            </a:graphic>
          </wp:inline>
        </w:drawing>
      </w:r>
    </w:p>
    <w:p w:rsidR="00625925" w:rsidRPr="00DE11CB" w:rsidRDefault="00DB0C74" w:rsidP="00625925">
      <w:pPr>
        <w:pStyle w:val="a9"/>
        <w:rPr>
          <w:lang w:val="en-US" w:eastAsia="zh-TW"/>
        </w:rPr>
      </w:pPr>
      <w:r w:rsidRPr="00DE11CB">
        <w:rPr>
          <w:rFonts w:hint="eastAsia"/>
          <w:lang w:val="en-US" w:eastAsia="zh-TW"/>
        </w:rPr>
        <w:t>資料來源：</w:t>
      </w:r>
      <w:r w:rsidRPr="00800317">
        <w:rPr>
          <w:rFonts w:hint="eastAsia"/>
          <w:lang w:val="en-US" w:eastAsia="zh-TW"/>
        </w:rPr>
        <w:t>《</w:t>
      </w:r>
      <w:r w:rsidRPr="00DE11CB">
        <w:rPr>
          <w:rFonts w:hint="eastAsia"/>
          <w:lang w:val="en-US" w:eastAsia="zh-TW"/>
        </w:rPr>
        <w:t>國家新型城鎮化規劃（</w:t>
      </w:r>
      <w:r w:rsidRPr="00DE11CB">
        <w:rPr>
          <w:lang w:val="en-US" w:eastAsia="zh-TW"/>
        </w:rPr>
        <w:t>2014</w:t>
      </w:r>
      <w:r w:rsidRPr="00DE11CB">
        <w:rPr>
          <w:rFonts w:hint="eastAsia"/>
          <w:lang w:val="en-US" w:eastAsia="zh-TW"/>
        </w:rPr>
        <w:t>－</w:t>
      </w:r>
      <w:r w:rsidRPr="00DE11CB">
        <w:rPr>
          <w:lang w:val="en-US" w:eastAsia="zh-TW"/>
        </w:rPr>
        <w:t>2020</w:t>
      </w:r>
      <w:r w:rsidRPr="00DE11CB">
        <w:rPr>
          <w:rFonts w:hint="eastAsia"/>
          <w:lang w:val="en-US" w:eastAsia="zh-TW"/>
        </w:rPr>
        <w:t>年）</w:t>
      </w:r>
      <w:r w:rsidRPr="00800317">
        <w:rPr>
          <w:rFonts w:hint="eastAsia"/>
          <w:lang w:val="en-US" w:eastAsia="zh-TW"/>
        </w:rPr>
        <w:t>》</w:t>
      </w:r>
      <w:r w:rsidRPr="00DE11CB">
        <w:rPr>
          <w:rFonts w:hint="eastAsia"/>
          <w:lang w:val="en-US" w:eastAsia="zh-TW"/>
        </w:rPr>
        <w:t>。</w:t>
      </w:r>
    </w:p>
    <w:p w:rsidR="00625925" w:rsidRPr="00350D48" w:rsidRDefault="00DB0C74" w:rsidP="0095677D">
      <w:pPr>
        <w:pStyle w:val="af0"/>
      </w:pPr>
      <w:bookmarkStart w:id="24" w:name="_Toc405462619"/>
      <w:r w:rsidRPr="002D13F3">
        <w:rPr>
          <w:rFonts w:hint="eastAsia"/>
        </w:rPr>
        <w:t>圖</w:t>
      </w:r>
      <w:r>
        <w:t>2-4</w:t>
      </w:r>
      <w:r>
        <w:rPr>
          <w:rFonts w:hint="eastAsia"/>
        </w:rPr>
        <w:t xml:space="preserve">　中國大陸城鎮化</w:t>
      </w:r>
      <w:r w:rsidR="00E41F3A">
        <w:rPr>
          <w:rFonts w:hint="eastAsia"/>
        </w:rPr>
        <w:t>布局</w:t>
      </w:r>
      <w:bookmarkEnd w:id="24"/>
    </w:p>
    <w:p w:rsidR="00737DE7" w:rsidRDefault="00DB0C74" w:rsidP="00737DE7">
      <w:pPr>
        <w:pStyle w:val="-"/>
        <w:spacing w:before="108" w:after="108"/>
        <w:ind w:firstLine="520"/>
      </w:pPr>
      <w:r>
        <w:rPr>
          <w:rFonts w:hint="eastAsia"/>
        </w:rPr>
        <w:t>在新型城市建設方面，《規劃》以現代城市發展為主軸，推動綠色發展、提高智慧化水準和增加文化內涵，著重城市內在品質提升。首先，最為重要的綠色城市建設，在生態文明被提高到與經濟發展同等重要的高度，綠色城市成為新型城鎮化的重要內涵。新型城鎮化的</w:t>
      </w:r>
      <w:r w:rsidRPr="00835241">
        <w:t>18</w:t>
      </w:r>
      <w:r w:rsidRPr="00835241">
        <w:rPr>
          <w:rFonts w:hint="eastAsia"/>
        </w:rPr>
        <w:t>個主要指標當中，就有</w:t>
      </w:r>
      <w:r w:rsidRPr="00835241">
        <w:t>8</w:t>
      </w:r>
      <w:r w:rsidRPr="00835241">
        <w:rPr>
          <w:rFonts w:hint="eastAsia"/>
        </w:rPr>
        <w:t>個指標都</w:t>
      </w:r>
      <w:r>
        <w:rPr>
          <w:rFonts w:hint="eastAsia"/>
        </w:rPr>
        <w:t>與綠色城市建設有關</w:t>
      </w:r>
      <w:r w:rsidRPr="00835241">
        <w:rPr>
          <w:rFonts w:hint="eastAsia"/>
        </w:rPr>
        <w:t>（見表</w:t>
      </w:r>
      <w:r w:rsidRPr="00835241">
        <w:t>2-2</w:t>
      </w:r>
      <w:r w:rsidRPr="00835241">
        <w:rPr>
          <w:rFonts w:hint="eastAsia"/>
        </w:rPr>
        <w:t>）</w:t>
      </w:r>
      <w:r>
        <w:rPr>
          <w:rFonts w:hint="eastAsia"/>
        </w:rPr>
        <w:t>，可見其重要性。綠色城市建設重點在於綠色能源的使用、綠色建築的改造、綠色交通的建設、產業園區循環化改造和綠色新行動生活。其中綠色交通將推動新能源車發展，並加快配套設施建設。公共交通行業則推動使用混合動力、純電動、天然氣等新能源和清潔燃料車輛。機場、車站和碼頭則推廣使用太陽能等可再生能源。預計在</w:t>
      </w:r>
      <w:r>
        <w:t>2020</w:t>
      </w:r>
      <w:r>
        <w:rPr>
          <w:rFonts w:hint="eastAsia"/>
        </w:rPr>
        <w:t>年全面淘汰排放量大、濃度高、排放穩定性差的高污染老舊車輛。</w:t>
      </w:r>
    </w:p>
    <w:p w:rsidR="00593EF0" w:rsidRPr="005323E1" w:rsidRDefault="00DB0C74" w:rsidP="00593EF0">
      <w:pPr>
        <w:pStyle w:val="a7"/>
      </w:pPr>
      <w:bookmarkStart w:id="25" w:name="_Toc405462609"/>
      <w:r w:rsidRPr="00625925">
        <w:rPr>
          <w:rFonts w:hint="eastAsia"/>
        </w:rPr>
        <w:lastRenderedPageBreak/>
        <w:t>表</w:t>
      </w:r>
      <w:r>
        <w:t>2-2</w:t>
      </w:r>
      <w:r>
        <w:rPr>
          <w:rFonts w:hint="eastAsia"/>
        </w:rPr>
        <w:t xml:space="preserve">　新型城鎮化主要指標</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938"/>
        <w:gridCol w:w="1940"/>
      </w:tblGrid>
      <w:tr w:rsidR="00593EF0" w:rsidRPr="002C7FCD" w:rsidTr="00DE6182">
        <w:trPr>
          <w:jc w:val="center"/>
        </w:trPr>
        <w:tc>
          <w:tcPr>
            <w:tcW w:w="2725"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hint="eastAsia"/>
                <w:sz w:val="22"/>
              </w:rPr>
              <w:t>指標</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2012</w:t>
            </w:r>
            <w:r>
              <w:rPr>
                <w:rFonts w:eastAsia="標楷體" w:hint="eastAsia"/>
                <w:sz w:val="22"/>
              </w:rPr>
              <w:t>年</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2020</w:t>
            </w:r>
            <w:r>
              <w:rPr>
                <w:rFonts w:eastAsia="標楷體" w:hint="eastAsia"/>
                <w:sz w:val="22"/>
              </w:rPr>
              <w:t>年</w:t>
            </w:r>
          </w:p>
        </w:tc>
      </w:tr>
      <w:tr w:rsidR="007E58AF" w:rsidRPr="002C7FCD" w:rsidTr="007E58AF">
        <w:trPr>
          <w:jc w:val="center"/>
        </w:trPr>
        <w:tc>
          <w:tcPr>
            <w:tcW w:w="5000" w:type="pct"/>
            <w:gridSpan w:val="3"/>
            <w:shd w:val="clear" w:color="auto" w:fill="auto"/>
            <w:vAlign w:val="center"/>
          </w:tcPr>
          <w:p w:rsidR="007E58AF" w:rsidRPr="002C7FCD" w:rsidRDefault="00DB0C74" w:rsidP="007E58AF">
            <w:pPr>
              <w:snapToGrid w:val="0"/>
              <w:spacing w:before="20" w:after="20"/>
              <w:rPr>
                <w:rFonts w:eastAsia="標楷體"/>
                <w:sz w:val="22"/>
              </w:rPr>
            </w:pPr>
            <w:r w:rsidRPr="00DE6182">
              <w:rPr>
                <w:rFonts w:eastAsia="標楷體" w:hint="eastAsia"/>
                <w:b/>
                <w:sz w:val="22"/>
              </w:rPr>
              <w:t>城鎮化水平</w:t>
            </w:r>
          </w:p>
        </w:tc>
      </w:tr>
      <w:tr w:rsidR="00593EF0" w:rsidRPr="002C7FCD" w:rsidTr="00DE6182">
        <w:trPr>
          <w:jc w:val="center"/>
        </w:trPr>
        <w:tc>
          <w:tcPr>
            <w:tcW w:w="2725" w:type="pct"/>
            <w:shd w:val="clear" w:color="auto" w:fill="auto"/>
            <w:vAlign w:val="center"/>
          </w:tcPr>
          <w:p w:rsidR="00593EF0" w:rsidRPr="002C7FCD" w:rsidRDefault="00DB0C74" w:rsidP="00916C91">
            <w:pPr>
              <w:snapToGrid w:val="0"/>
              <w:spacing w:before="20" w:after="20"/>
              <w:ind w:leftChars="200" w:left="480"/>
              <w:rPr>
                <w:rFonts w:eastAsia="標楷體"/>
                <w:sz w:val="22"/>
              </w:rPr>
            </w:pPr>
            <w:r>
              <w:rPr>
                <w:rFonts w:eastAsia="標楷體" w:hint="eastAsia"/>
                <w:sz w:val="22"/>
              </w:rPr>
              <w:t>常住人口城鎮化率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52.6</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60</w:t>
            </w:r>
            <w:r>
              <w:rPr>
                <w:rFonts w:eastAsia="標楷體" w:hint="eastAsia"/>
                <w:sz w:val="22"/>
              </w:rPr>
              <w:t>左右</w:t>
            </w:r>
          </w:p>
        </w:tc>
      </w:tr>
      <w:tr w:rsidR="00593EF0" w:rsidRPr="002C7FCD" w:rsidTr="00DE6182">
        <w:trPr>
          <w:jc w:val="center"/>
        </w:trPr>
        <w:tc>
          <w:tcPr>
            <w:tcW w:w="2725" w:type="pct"/>
            <w:shd w:val="clear" w:color="auto" w:fill="auto"/>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戶籍人口城鎮化率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35.3</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45</w:t>
            </w:r>
            <w:r>
              <w:rPr>
                <w:rFonts w:eastAsia="標楷體" w:hint="eastAsia"/>
                <w:sz w:val="22"/>
              </w:rPr>
              <w:t>左右</w:t>
            </w:r>
          </w:p>
        </w:tc>
      </w:tr>
      <w:tr w:rsidR="00593EF0" w:rsidRPr="002C7FCD" w:rsidTr="00DE6182">
        <w:trPr>
          <w:jc w:val="center"/>
        </w:trPr>
        <w:tc>
          <w:tcPr>
            <w:tcW w:w="2725" w:type="pct"/>
            <w:shd w:val="clear" w:color="auto" w:fill="auto"/>
            <w:vAlign w:val="center"/>
          </w:tcPr>
          <w:p w:rsidR="00593EF0" w:rsidRPr="00DE6182" w:rsidRDefault="00DB0C74" w:rsidP="00593EF0">
            <w:pPr>
              <w:snapToGrid w:val="0"/>
              <w:spacing w:before="20" w:after="20"/>
              <w:rPr>
                <w:rFonts w:eastAsia="標楷體"/>
                <w:b/>
                <w:sz w:val="22"/>
              </w:rPr>
            </w:pPr>
            <w:r w:rsidRPr="00DE6182">
              <w:rPr>
                <w:rFonts w:eastAsia="標楷體" w:hint="eastAsia"/>
                <w:b/>
                <w:sz w:val="22"/>
              </w:rPr>
              <w:t>基本公共服務</w:t>
            </w:r>
          </w:p>
        </w:tc>
        <w:tc>
          <w:tcPr>
            <w:tcW w:w="1137" w:type="pct"/>
            <w:shd w:val="clear" w:color="auto" w:fill="auto"/>
            <w:vAlign w:val="center"/>
          </w:tcPr>
          <w:p w:rsidR="00593EF0" w:rsidRPr="002C7FCD" w:rsidRDefault="00593EF0" w:rsidP="00953FF8">
            <w:pPr>
              <w:snapToGrid w:val="0"/>
              <w:spacing w:before="20" w:after="20"/>
              <w:jc w:val="center"/>
              <w:rPr>
                <w:rFonts w:eastAsia="標楷體"/>
                <w:sz w:val="22"/>
              </w:rPr>
            </w:pPr>
          </w:p>
        </w:tc>
        <w:tc>
          <w:tcPr>
            <w:tcW w:w="1138" w:type="pct"/>
            <w:shd w:val="clear" w:color="auto" w:fill="auto"/>
            <w:vAlign w:val="center"/>
          </w:tcPr>
          <w:p w:rsidR="00593EF0" w:rsidRPr="002C7FCD" w:rsidRDefault="00593EF0" w:rsidP="00953FF8">
            <w:pPr>
              <w:snapToGrid w:val="0"/>
              <w:spacing w:before="20" w:after="20"/>
              <w:jc w:val="center"/>
              <w:rPr>
                <w:rFonts w:eastAsia="標楷體"/>
                <w:sz w:val="22"/>
              </w:rPr>
            </w:pPr>
          </w:p>
        </w:tc>
      </w:tr>
      <w:tr w:rsidR="00593EF0" w:rsidRPr="002C7FCD" w:rsidTr="00DE6182">
        <w:trPr>
          <w:jc w:val="center"/>
        </w:trPr>
        <w:tc>
          <w:tcPr>
            <w:tcW w:w="2725" w:type="pct"/>
            <w:shd w:val="clear" w:color="auto" w:fill="auto"/>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農民工隨遷子女接受義務教育比例</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hint="eastAsia"/>
                <w:sz w:val="22"/>
              </w:rPr>
              <w:t>－</w:t>
            </w:r>
          </w:p>
        </w:tc>
        <w:tc>
          <w:tcPr>
            <w:tcW w:w="1138" w:type="pct"/>
            <w:shd w:val="clear" w:color="auto" w:fill="auto"/>
            <w:vAlign w:val="center"/>
          </w:tcPr>
          <w:p w:rsidR="00593EF0" w:rsidRPr="002C7FCD" w:rsidRDefault="00DB0C74" w:rsidP="00835241">
            <w:pPr>
              <w:snapToGrid w:val="0"/>
              <w:spacing w:before="20" w:after="20"/>
              <w:jc w:val="center"/>
              <w:rPr>
                <w:rFonts w:eastAsia="標楷體"/>
                <w:sz w:val="22"/>
              </w:rPr>
            </w:pPr>
            <w:r w:rsidRPr="00504907">
              <w:rPr>
                <w:rFonts w:eastAsia="標楷體" w:hint="eastAsia"/>
                <w:sz w:val="22"/>
              </w:rPr>
              <w:t>≧</w:t>
            </w:r>
            <w:r w:rsidRPr="00504907">
              <w:rPr>
                <w:rFonts w:eastAsia="標楷體"/>
                <w:sz w:val="22"/>
              </w:rPr>
              <w:t>99</w:t>
            </w:r>
          </w:p>
        </w:tc>
      </w:tr>
      <w:tr w:rsidR="00593EF0" w:rsidRPr="002C7FCD" w:rsidTr="00DE6182">
        <w:trPr>
          <w:jc w:val="center"/>
        </w:trPr>
        <w:tc>
          <w:tcPr>
            <w:tcW w:w="2725" w:type="pct"/>
            <w:shd w:val="clear" w:color="auto" w:fill="auto"/>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城鎮失業人員、農民工、新成長勞動力免費接受基本職業技能培訓覆蓋率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hint="eastAsia"/>
                <w:sz w:val="22"/>
              </w:rPr>
              <w:t>－</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sidRPr="00504907">
              <w:rPr>
                <w:rFonts w:eastAsia="標楷體" w:hint="eastAsia"/>
                <w:sz w:val="22"/>
              </w:rPr>
              <w:t>≧</w:t>
            </w:r>
            <w:r w:rsidRPr="00504907">
              <w:rPr>
                <w:rFonts w:eastAsia="標楷體"/>
                <w:sz w:val="22"/>
              </w:rPr>
              <w:t>95</w:t>
            </w:r>
          </w:p>
        </w:tc>
      </w:tr>
      <w:tr w:rsidR="00593EF0" w:rsidRPr="002C7FCD" w:rsidTr="00DE6182">
        <w:trPr>
          <w:jc w:val="center"/>
        </w:trPr>
        <w:tc>
          <w:tcPr>
            <w:tcW w:w="2725" w:type="pct"/>
            <w:shd w:val="clear" w:color="auto" w:fill="auto"/>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城鎮常住人口基本養老保險覆蓋率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66.9</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sidRPr="00504907">
              <w:rPr>
                <w:rFonts w:eastAsia="標楷體" w:hint="eastAsia"/>
                <w:sz w:val="22"/>
              </w:rPr>
              <w:t>≧</w:t>
            </w:r>
            <w:r w:rsidRPr="00504907">
              <w:rPr>
                <w:rFonts w:eastAsia="標楷體"/>
                <w:sz w:val="22"/>
              </w:rPr>
              <w:t>90</w:t>
            </w:r>
          </w:p>
        </w:tc>
      </w:tr>
      <w:tr w:rsidR="00593EF0" w:rsidRPr="002C7FCD" w:rsidTr="00DE6182">
        <w:trPr>
          <w:jc w:val="center"/>
        </w:trPr>
        <w:tc>
          <w:tcPr>
            <w:tcW w:w="2725" w:type="pct"/>
            <w:shd w:val="clear" w:color="auto" w:fill="auto"/>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城鎮常住人口基本醫療保險覆蓋率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95</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98</w:t>
            </w:r>
          </w:p>
        </w:tc>
      </w:tr>
      <w:tr w:rsidR="00593EF0" w:rsidRPr="002C7FCD" w:rsidTr="00DE6182">
        <w:trPr>
          <w:jc w:val="center"/>
        </w:trPr>
        <w:tc>
          <w:tcPr>
            <w:tcW w:w="2725" w:type="pct"/>
            <w:shd w:val="clear" w:color="auto" w:fill="auto"/>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城鎮常住人口保障性住房覆蓋率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12.5</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sidRPr="00504907">
              <w:rPr>
                <w:rFonts w:eastAsia="標楷體" w:hint="eastAsia"/>
                <w:sz w:val="22"/>
              </w:rPr>
              <w:t>≧</w:t>
            </w:r>
            <w:r w:rsidRPr="00504907">
              <w:rPr>
                <w:rFonts w:eastAsia="標楷體"/>
                <w:sz w:val="22"/>
              </w:rPr>
              <w:t>23</w:t>
            </w:r>
          </w:p>
        </w:tc>
      </w:tr>
      <w:tr w:rsidR="007E58AF" w:rsidRPr="002C7FCD" w:rsidTr="007E58AF">
        <w:trPr>
          <w:jc w:val="center"/>
        </w:trPr>
        <w:tc>
          <w:tcPr>
            <w:tcW w:w="5000" w:type="pct"/>
            <w:gridSpan w:val="3"/>
            <w:shd w:val="clear" w:color="auto" w:fill="auto"/>
            <w:vAlign w:val="center"/>
          </w:tcPr>
          <w:p w:rsidR="007E58AF" w:rsidRPr="002C7FCD" w:rsidRDefault="00DB0C74" w:rsidP="007E58AF">
            <w:pPr>
              <w:snapToGrid w:val="0"/>
              <w:spacing w:before="20" w:after="20"/>
              <w:rPr>
                <w:rFonts w:eastAsia="標楷體"/>
                <w:sz w:val="22"/>
              </w:rPr>
            </w:pPr>
            <w:r w:rsidRPr="00DE6182">
              <w:rPr>
                <w:rFonts w:eastAsia="標楷體" w:hint="eastAsia"/>
                <w:b/>
                <w:sz w:val="22"/>
              </w:rPr>
              <w:t>基礎設施</w:t>
            </w:r>
          </w:p>
        </w:tc>
      </w:tr>
      <w:tr w:rsidR="00593EF0" w:rsidRPr="002C7FCD" w:rsidTr="00DE6182">
        <w:trPr>
          <w:jc w:val="center"/>
        </w:trPr>
        <w:tc>
          <w:tcPr>
            <w:tcW w:w="2725" w:type="pct"/>
            <w:shd w:val="clear" w:color="auto" w:fill="auto"/>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百萬以上人口城市公共交通占機動化出行比例</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45</w:t>
            </w:r>
            <w:r>
              <w:rPr>
                <w:rFonts w:ascii="新細明體" w:hAnsi="新細明體"/>
                <w:sz w:val="22"/>
              </w:rPr>
              <w:t>*</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60</w:t>
            </w:r>
          </w:p>
        </w:tc>
      </w:tr>
      <w:tr w:rsidR="00593EF0" w:rsidRPr="002C7FCD" w:rsidTr="00953FF8">
        <w:trPr>
          <w:jc w:val="center"/>
        </w:trPr>
        <w:tc>
          <w:tcPr>
            <w:tcW w:w="2725" w:type="pct"/>
            <w:shd w:val="clear" w:color="auto" w:fill="D6E3BC"/>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城鎮公共供水普及率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D6E3BC"/>
            <w:vAlign w:val="center"/>
          </w:tcPr>
          <w:p w:rsidR="00593EF0" w:rsidRPr="002C7FCD" w:rsidRDefault="00DB0C74" w:rsidP="00953FF8">
            <w:pPr>
              <w:snapToGrid w:val="0"/>
              <w:spacing w:before="20" w:after="20"/>
              <w:jc w:val="center"/>
              <w:rPr>
                <w:rFonts w:eastAsia="標楷體"/>
                <w:sz w:val="22"/>
              </w:rPr>
            </w:pPr>
            <w:r>
              <w:rPr>
                <w:rFonts w:eastAsia="標楷體"/>
                <w:sz w:val="22"/>
              </w:rPr>
              <w:t>81.7</w:t>
            </w:r>
          </w:p>
        </w:tc>
        <w:tc>
          <w:tcPr>
            <w:tcW w:w="1138" w:type="pct"/>
            <w:shd w:val="clear" w:color="auto" w:fill="D6E3BC"/>
            <w:vAlign w:val="center"/>
          </w:tcPr>
          <w:p w:rsidR="00593EF0" w:rsidRPr="002C7FCD" w:rsidRDefault="00DB0C74" w:rsidP="00953FF8">
            <w:pPr>
              <w:snapToGrid w:val="0"/>
              <w:spacing w:before="20" w:after="20"/>
              <w:jc w:val="center"/>
              <w:rPr>
                <w:rFonts w:eastAsia="標楷體"/>
                <w:sz w:val="22"/>
              </w:rPr>
            </w:pPr>
            <w:r>
              <w:rPr>
                <w:rFonts w:eastAsia="標楷體"/>
                <w:sz w:val="22"/>
              </w:rPr>
              <w:t>90</w:t>
            </w:r>
          </w:p>
        </w:tc>
      </w:tr>
      <w:tr w:rsidR="00593EF0" w:rsidRPr="002C7FCD" w:rsidTr="00953FF8">
        <w:trPr>
          <w:jc w:val="center"/>
        </w:trPr>
        <w:tc>
          <w:tcPr>
            <w:tcW w:w="2725" w:type="pct"/>
            <w:shd w:val="clear" w:color="auto" w:fill="D6E3BC"/>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城市汙水處理率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D6E3BC"/>
            <w:vAlign w:val="center"/>
          </w:tcPr>
          <w:p w:rsidR="00593EF0" w:rsidRPr="002C7FCD" w:rsidRDefault="00DB0C74" w:rsidP="00953FF8">
            <w:pPr>
              <w:snapToGrid w:val="0"/>
              <w:spacing w:before="20" w:after="20"/>
              <w:jc w:val="center"/>
              <w:rPr>
                <w:rFonts w:eastAsia="標楷體"/>
                <w:sz w:val="22"/>
              </w:rPr>
            </w:pPr>
            <w:r>
              <w:rPr>
                <w:rFonts w:eastAsia="標楷體"/>
                <w:sz w:val="22"/>
              </w:rPr>
              <w:t>87.3</w:t>
            </w:r>
          </w:p>
        </w:tc>
        <w:tc>
          <w:tcPr>
            <w:tcW w:w="1138" w:type="pct"/>
            <w:shd w:val="clear" w:color="auto" w:fill="D6E3BC"/>
            <w:vAlign w:val="center"/>
          </w:tcPr>
          <w:p w:rsidR="00593EF0" w:rsidRPr="002C7FCD" w:rsidRDefault="00DB0C74" w:rsidP="00953FF8">
            <w:pPr>
              <w:snapToGrid w:val="0"/>
              <w:spacing w:before="20" w:after="20"/>
              <w:jc w:val="center"/>
              <w:rPr>
                <w:rFonts w:eastAsia="標楷體"/>
                <w:sz w:val="22"/>
              </w:rPr>
            </w:pPr>
            <w:r>
              <w:rPr>
                <w:rFonts w:eastAsia="標楷體"/>
                <w:sz w:val="22"/>
              </w:rPr>
              <w:t>95</w:t>
            </w:r>
          </w:p>
        </w:tc>
      </w:tr>
      <w:tr w:rsidR="00593EF0" w:rsidRPr="002C7FCD" w:rsidTr="00953FF8">
        <w:trPr>
          <w:jc w:val="center"/>
        </w:trPr>
        <w:tc>
          <w:tcPr>
            <w:tcW w:w="2725" w:type="pct"/>
            <w:shd w:val="clear" w:color="auto" w:fill="D6E3BC"/>
            <w:vAlign w:val="center"/>
          </w:tcPr>
          <w:p w:rsidR="00593EF0" w:rsidRPr="002C7FCD" w:rsidRDefault="00DB0C74" w:rsidP="00DE6182">
            <w:pPr>
              <w:snapToGrid w:val="0"/>
              <w:spacing w:before="20" w:after="20"/>
              <w:ind w:leftChars="200" w:left="480"/>
              <w:rPr>
                <w:rFonts w:eastAsia="標楷體"/>
                <w:sz w:val="22"/>
              </w:rPr>
            </w:pPr>
            <w:r>
              <w:rPr>
                <w:rFonts w:eastAsia="標楷體" w:hint="eastAsia"/>
                <w:sz w:val="22"/>
              </w:rPr>
              <w:t>城市生活垃圾無害化處理率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D6E3BC"/>
            <w:vAlign w:val="center"/>
          </w:tcPr>
          <w:p w:rsidR="00593EF0" w:rsidRPr="002C7FCD" w:rsidRDefault="00DB0C74" w:rsidP="00953FF8">
            <w:pPr>
              <w:snapToGrid w:val="0"/>
              <w:spacing w:before="20" w:after="20"/>
              <w:jc w:val="center"/>
              <w:rPr>
                <w:rFonts w:eastAsia="標楷體"/>
                <w:sz w:val="22"/>
              </w:rPr>
            </w:pPr>
            <w:r>
              <w:rPr>
                <w:rFonts w:eastAsia="標楷體"/>
                <w:sz w:val="22"/>
              </w:rPr>
              <w:t>84.8</w:t>
            </w:r>
          </w:p>
        </w:tc>
        <w:tc>
          <w:tcPr>
            <w:tcW w:w="1138" w:type="pct"/>
            <w:shd w:val="clear" w:color="auto" w:fill="D6E3BC"/>
            <w:vAlign w:val="center"/>
          </w:tcPr>
          <w:p w:rsidR="00593EF0" w:rsidRPr="002C7FCD" w:rsidRDefault="00DB0C74" w:rsidP="00953FF8">
            <w:pPr>
              <w:snapToGrid w:val="0"/>
              <w:spacing w:before="20" w:after="20"/>
              <w:jc w:val="center"/>
              <w:rPr>
                <w:rFonts w:eastAsia="標楷體"/>
                <w:sz w:val="22"/>
              </w:rPr>
            </w:pPr>
            <w:r>
              <w:rPr>
                <w:rFonts w:eastAsia="標楷體"/>
                <w:sz w:val="22"/>
              </w:rPr>
              <w:t>95</w:t>
            </w:r>
          </w:p>
        </w:tc>
      </w:tr>
      <w:tr w:rsidR="00593EF0" w:rsidRPr="002C7FCD" w:rsidTr="00DE6182">
        <w:trPr>
          <w:jc w:val="center"/>
        </w:trPr>
        <w:tc>
          <w:tcPr>
            <w:tcW w:w="2725" w:type="pct"/>
            <w:shd w:val="clear" w:color="auto" w:fill="auto"/>
            <w:vAlign w:val="center"/>
          </w:tcPr>
          <w:p w:rsidR="00593EF0" w:rsidRPr="00916C91" w:rsidRDefault="00DB0C74" w:rsidP="00916C91">
            <w:pPr>
              <w:snapToGrid w:val="0"/>
              <w:spacing w:before="20" w:after="20"/>
              <w:ind w:leftChars="200" w:left="480"/>
              <w:rPr>
                <w:rFonts w:eastAsia="標楷體"/>
                <w:sz w:val="22"/>
              </w:rPr>
            </w:pPr>
            <w:r>
              <w:rPr>
                <w:rFonts w:eastAsia="標楷體" w:hint="eastAsia"/>
                <w:sz w:val="22"/>
              </w:rPr>
              <w:t>城市家庭寬帶接入能力</w:t>
            </w:r>
            <w:r>
              <w:rPr>
                <w:rFonts w:ascii="新細明體" w:hAnsi="新細明體" w:hint="eastAsia"/>
                <w:sz w:val="22"/>
              </w:rPr>
              <w:t>（</w:t>
            </w:r>
            <w:r w:rsidRPr="00916C91">
              <w:rPr>
                <w:rFonts w:eastAsia="標楷體"/>
                <w:sz w:val="22"/>
              </w:rPr>
              <w:t>Mbps</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4</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sidRPr="00504907">
              <w:rPr>
                <w:rFonts w:eastAsia="標楷體" w:hint="eastAsia"/>
                <w:sz w:val="22"/>
              </w:rPr>
              <w:t>≧</w:t>
            </w:r>
            <w:r w:rsidRPr="00504907">
              <w:rPr>
                <w:rFonts w:eastAsia="標楷體"/>
                <w:sz w:val="22"/>
              </w:rPr>
              <w:t>50</w:t>
            </w:r>
          </w:p>
        </w:tc>
      </w:tr>
      <w:tr w:rsidR="00593EF0" w:rsidRPr="002C7FCD" w:rsidTr="00DE6182">
        <w:trPr>
          <w:jc w:val="center"/>
        </w:trPr>
        <w:tc>
          <w:tcPr>
            <w:tcW w:w="2725" w:type="pct"/>
            <w:shd w:val="clear" w:color="auto" w:fill="auto"/>
            <w:vAlign w:val="center"/>
          </w:tcPr>
          <w:p w:rsidR="00593EF0" w:rsidRPr="00916C91" w:rsidRDefault="00DB0C74" w:rsidP="00DE6182">
            <w:pPr>
              <w:snapToGrid w:val="0"/>
              <w:spacing w:before="20" w:after="20"/>
              <w:ind w:leftChars="200" w:left="480"/>
              <w:rPr>
                <w:rFonts w:eastAsia="標楷體"/>
                <w:sz w:val="22"/>
              </w:rPr>
            </w:pPr>
            <w:r>
              <w:rPr>
                <w:rFonts w:eastAsia="標楷體" w:hint="eastAsia"/>
                <w:sz w:val="22"/>
              </w:rPr>
              <w:t>城市社區綜合服務設施覆蓋率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72.5</w:t>
            </w:r>
          </w:p>
        </w:tc>
        <w:tc>
          <w:tcPr>
            <w:tcW w:w="1138" w:type="pct"/>
            <w:shd w:val="clear" w:color="auto" w:fill="auto"/>
            <w:vAlign w:val="center"/>
          </w:tcPr>
          <w:p w:rsidR="00593EF0" w:rsidRPr="002C7FCD" w:rsidRDefault="00DB0C74" w:rsidP="00953FF8">
            <w:pPr>
              <w:snapToGrid w:val="0"/>
              <w:spacing w:before="20" w:after="20"/>
              <w:jc w:val="center"/>
              <w:rPr>
                <w:rFonts w:eastAsia="標楷體"/>
                <w:sz w:val="22"/>
              </w:rPr>
            </w:pPr>
            <w:r>
              <w:rPr>
                <w:rFonts w:eastAsia="標楷體"/>
                <w:sz w:val="22"/>
              </w:rPr>
              <w:t>100</w:t>
            </w:r>
          </w:p>
        </w:tc>
      </w:tr>
      <w:tr w:rsidR="007E58AF" w:rsidRPr="002C7FCD" w:rsidTr="007E58AF">
        <w:trPr>
          <w:jc w:val="center"/>
        </w:trPr>
        <w:tc>
          <w:tcPr>
            <w:tcW w:w="5000" w:type="pct"/>
            <w:gridSpan w:val="3"/>
            <w:shd w:val="clear" w:color="auto" w:fill="auto"/>
            <w:vAlign w:val="center"/>
          </w:tcPr>
          <w:p w:rsidR="007E58AF" w:rsidRPr="002C7FCD" w:rsidRDefault="00DB0C74" w:rsidP="007E58AF">
            <w:pPr>
              <w:snapToGrid w:val="0"/>
              <w:spacing w:before="20" w:after="20"/>
              <w:rPr>
                <w:rFonts w:eastAsia="標楷體"/>
                <w:sz w:val="22"/>
              </w:rPr>
            </w:pPr>
            <w:r w:rsidRPr="00DE6182">
              <w:rPr>
                <w:rFonts w:eastAsia="標楷體" w:hint="eastAsia"/>
                <w:b/>
                <w:sz w:val="22"/>
              </w:rPr>
              <w:t>資源環境</w:t>
            </w:r>
          </w:p>
        </w:tc>
      </w:tr>
      <w:tr w:rsidR="00593EF0" w:rsidRPr="002C7FCD" w:rsidTr="00953FF8">
        <w:trPr>
          <w:jc w:val="center"/>
        </w:trPr>
        <w:tc>
          <w:tcPr>
            <w:tcW w:w="2725" w:type="pct"/>
            <w:shd w:val="clear" w:color="auto" w:fill="D6E3BC"/>
            <w:vAlign w:val="center"/>
          </w:tcPr>
          <w:p w:rsidR="00593EF0" w:rsidRPr="002C7FCD" w:rsidRDefault="00DB0C74" w:rsidP="00916C91">
            <w:pPr>
              <w:snapToGrid w:val="0"/>
              <w:spacing w:before="20" w:after="20"/>
              <w:ind w:leftChars="200" w:left="480"/>
              <w:rPr>
                <w:rFonts w:eastAsia="標楷體"/>
                <w:sz w:val="22"/>
              </w:rPr>
            </w:pPr>
            <w:r>
              <w:rPr>
                <w:rFonts w:eastAsia="標楷體" w:hint="eastAsia"/>
                <w:sz w:val="22"/>
              </w:rPr>
              <w:t>人均城市建設用地</w:t>
            </w:r>
            <w:r>
              <w:rPr>
                <w:rFonts w:ascii="新細明體" w:hAnsi="新細明體" w:hint="eastAsia"/>
                <w:sz w:val="22"/>
              </w:rPr>
              <w:t>（</w:t>
            </w:r>
            <w:r>
              <w:rPr>
                <w:rFonts w:eastAsia="標楷體" w:hint="eastAsia"/>
                <w:sz w:val="22"/>
              </w:rPr>
              <w:t>平方米</w:t>
            </w:r>
            <w:r>
              <w:rPr>
                <w:rFonts w:ascii="新細明體" w:hAnsi="新細明體" w:hint="eastAsia"/>
                <w:sz w:val="22"/>
              </w:rPr>
              <w:t>）</w:t>
            </w:r>
          </w:p>
        </w:tc>
        <w:tc>
          <w:tcPr>
            <w:tcW w:w="1137" w:type="pct"/>
            <w:shd w:val="clear" w:color="auto" w:fill="D6E3BC"/>
            <w:vAlign w:val="center"/>
          </w:tcPr>
          <w:p w:rsidR="00593EF0" w:rsidRPr="002C7FCD" w:rsidRDefault="00DB0C74" w:rsidP="00953FF8">
            <w:pPr>
              <w:snapToGrid w:val="0"/>
              <w:spacing w:before="20" w:after="20"/>
              <w:jc w:val="center"/>
              <w:rPr>
                <w:rFonts w:eastAsia="標楷體"/>
                <w:sz w:val="22"/>
              </w:rPr>
            </w:pPr>
            <w:r>
              <w:rPr>
                <w:rFonts w:eastAsia="標楷體" w:hint="eastAsia"/>
                <w:sz w:val="22"/>
              </w:rPr>
              <w:t>－</w:t>
            </w:r>
          </w:p>
        </w:tc>
        <w:tc>
          <w:tcPr>
            <w:tcW w:w="1138" w:type="pct"/>
            <w:shd w:val="clear" w:color="auto" w:fill="D6E3BC"/>
            <w:vAlign w:val="center"/>
          </w:tcPr>
          <w:p w:rsidR="00593EF0" w:rsidRPr="002C7FCD" w:rsidRDefault="00DB0C74" w:rsidP="00953FF8">
            <w:pPr>
              <w:snapToGrid w:val="0"/>
              <w:spacing w:before="20" w:after="20"/>
              <w:jc w:val="center"/>
              <w:rPr>
                <w:rFonts w:eastAsia="標楷體"/>
                <w:sz w:val="22"/>
              </w:rPr>
            </w:pPr>
            <w:r w:rsidRPr="00504907">
              <w:rPr>
                <w:rFonts w:eastAsia="標楷體" w:hint="eastAsia"/>
                <w:sz w:val="22"/>
              </w:rPr>
              <w:t>≦</w:t>
            </w:r>
            <w:r w:rsidRPr="00504907">
              <w:rPr>
                <w:rFonts w:eastAsia="標楷體"/>
                <w:sz w:val="22"/>
              </w:rPr>
              <w:t>100</w:t>
            </w:r>
          </w:p>
        </w:tc>
      </w:tr>
      <w:tr w:rsidR="00DE6182" w:rsidRPr="002C7FCD" w:rsidTr="00953FF8">
        <w:trPr>
          <w:jc w:val="center"/>
        </w:trPr>
        <w:tc>
          <w:tcPr>
            <w:tcW w:w="2725" w:type="pct"/>
            <w:shd w:val="clear" w:color="auto" w:fill="D6E3BC"/>
            <w:vAlign w:val="center"/>
          </w:tcPr>
          <w:p w:rsidR="00DE6182" w:rsidRPr="00916C91" w:rsidRDefault="00DB0C74" w:rsidP="00DE6182">
            <w:pPr>
              <w:snapToGrid w:val="0"/>
              <w:spacing w:before="20" w:after="20"/>
              <w:ind w:leftChars="200" w:left="480"/>
              <w:rPr>
                <w:rFonts w:eastAsia="標楷體"/>
                <w:sz w:val="22"/>
              </w:rPr>
            </w:pPr>
            <w:r>
              <w:rPr>
                <w:rFonts w:eastAsia="標楷體" w:hint="eastAsia"/>
                <w:sz w:val="22"/>
              </w:rPr>
              <w:t>城鎮可再生能源消費比重</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D6E3BC"/>
            <w:vAlign w:val="center"/>
          </w:tcPr>
          <w:p w:rsidR="00DE6182" w:rsidRPr="002C7FCD" w:rsidRDefault="00DB0C74" w:rsidP="00953FF8">
            <w:pPr>
              <w:snapToGrid w:val="0"/>
              <w:spacing w:before="20" w:after="20"/>
              <w:jc w:val="center"/>
              <w:rPr>
                <w:rFonts w:eastAsia="標楷體"/>
                <w:sz w:val="22"/>
              </w:rPr>
            </w:pPr>
            <w:r>
              <w:rPr>
                <w:rFonts w:eastAsia="標楷體"/>
                <w:sz w:val="22"/>
              </w:rPr>
              <w:t>8.7</w:t>
            </w:r>
          </w:p>
        </w:tc>
        <w:tc>
          <w:tcPr>
            <w:tcW w:w="1138" w:type="pct"/>
            <w:shd w:val="clear" w:color="auto" w:fill="D6E3BC"/>
            <w:vAlign w:val="center"/>
          </w:tcPr>
          <w:p w:rsidR="00DE6182" w:rsidRPr="002C7FCD" w:rsidRDefault="00DB0C74" w:rsidP="00953FF8">
            <w:pPr>
              <w:snapToGrid w:val="0"/>
              <w:spacing w:before="20" w:after="20"/>
              <w:jc w:val="center"/>
              <w:rPr>
                <w:rFonts w:eastAsia="標楷體"/>
                <w:sz w:val="22"/>
              </w:rPr>
            </w:pPr>
            <w:r>
              <w:rPr>
                <w:rFonts w:eastAsia="標楷體"/>
                <w:sz w:val="22"/>
              </w:rPr>
              <w:t>13</w:t>
            </w:r>
          </w:p>
        </w:tc>
      </w:tr>
      <w:tr w:rsidR="00DE6182" w:rsidRPr="002C7FCD" w:rsidTr="00953FF8">
        <w:trPr>
          <w:jc w:val="center"/>
        </w:trPr>
        <w:tc>
          <w:tcPr>
            <w:tcW w:w="2725" w:type="pct"/>
            <w:shd w:val="clear" w:color="auto" w:fill="D6E3BC"/>
            <w:vAlign w:val="center"/>
          </w:tcPr>
          <w:p w:rsidR="00DE6182" w:rsidRPr="002C7FCD" w:rsidRDefault="00DB0C74" w:rsidP="00916C91">
            <w:pPr>
              <w:snapToGrid w:val="0"/>
              <w:spacing w:before="20" w:after="20"/>
              <w:ind w:leftChars="200" w:left="480"/>
              <w:rPr>
                <w:rFonts w:eastAsia="標楷體"/>
                <w:sz w:val="22"/>
              </w:rPr>
            </w:pPr>
            <w:r>
              <w:rPr>
                <w:rFonts w:eastAsia="標楷體" w:hint="eastAsia"/>
                <w:sz w:val="22"/>
              </w:rPr>
              <w:t>城鎮綠色建築占新建建築比重</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D6E3BC"/>
            <w:vAlign w:val="center"/>
          </w:tcPr>
          <w:p w:rsidR="00DE6182" w:rsidRPr="002C7FCD" w:rsidRDefault="00DB0C74" w:rsidP="00953FF8">
            <w:pPr>
              <w:snapToGrid w:val="0"/>
              <w:spacing w:before="20" w:after="20"/>
              <w:jc w:val="center"/>
              <w:rPr>
                <w:rFonts w:eastAsia="標楷體"/>
                <w:sz w:val="22"/>
              </w:rPr>
            </w:pPr>
            <w:r>
              <w:rPr>
                <w:rFonts w:eastAsia="標楷體"/>
                <w:sz w:val="22"/>
              </w:rPr>
              <w:t>2</w:t>
            </w:r>
          </w:p>
        </w:tc>
        <w:tc>
          <w:tcPr>
            <w:tcW w:w="1138" w:type="pct"/>
            <w:shd w:val="clear" w:color="auto" w:fill="D6E3BC"/>
            <w:vAlign w:val="center"/>
          </w:tcPr>
          <w:p w:rsidR="00DE6182" w:rsidRPr="002C7FCD" w:rsidRDefault="00DB0C74" w:rsidP="00953FF8">
            <w:pPr>
              <w:snapToGrid w:val="0"/>
              <w:spacing w:before="20" w:after="20"/>
              <w:jc w:val="center"/>
              <w:rPr>
                <w:rFonts w:eastAsia="標楷體"/>
                <w:sz w:val="22"/>
              </w:rPr>
            </w:pPr>
            <w:r>
              <w:rPr>
                <w:rFonts w:eastAsia="標楷體"/>
                <w:sz w:val="22"/>
              </w:rPr>
              <w:t>50</w:t>
            </w:r>
          </w:p>
        </w:tc>
      </w:tr>
      <w:tr w:rsidR="00DE6182" w:rsidRPr="002C7FCD" w:rsidTr="00953FF8">
        <w:trPr>
          <w:jc w:val="center"/>
        </w:trPr>
        <w:tc>
          <w:tcPr>
            <w:tcW w:w="2725" w:type="pct"/>
            <w:shd w:val="clear" w:color="auto" w:fill="D6E3BC"/>
            <w:vAlign w:val="center"/>
          </w:tcPr>
          <w:p w:rsidR="00DE6182" w:rsidRPr="002C7FCD" w:rsidRDefault="00DB0C74" w:rsidP="00282AB8">
            <w:pPr>
              <w:snapToGrid w:val="0"/>
              <w:spacing w:before="20" w:after="20"/>
              <w:ind w:leftChars="200" w:left="480"/>
              <w:rPr>
                <w:rFonts w:eastAsia="標楷體"/>
                <w:sz w:val="22"/>
              </w:rPr>
            </w:pPr>
            <w:r>
              <w:rPr>
                <w:rFonts w:eastAsia="標楷體" w:hint="eastAsia"/>
                <w:sz w:val="22"/>
              </w:rPr>
              <w:t>城市建成區綠地率</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D6E3BC"/>
            <w:vAlign w:val="center"/>
          </w:tcPr>
          <w:p w:rsidR="00DE6182" w:rsidRPr="002C7FCD" w:rsidRDefault="00DB0C74" w:rsidP="00953FF8">
            <w:pPr>
              <w:snapToGrid w:val="0"/>
              <w:spacing w:before="20" w:after="20"/>
              <w:jc w:val="center"/>
              <w:rPr>
                <w:rFonts w:eastAsia="標楷體"/>
                <w:sz w:val="22"/>
              </w:rPr>
            </w:pPr>
            <w:r>
              <w:rPr>
                <w:rFonts w:eastAsia="標楷體"/>
                <w:sz w:val="22"/>
              </w:rPr>
              <w:t>35.7</w:t>
            </w:r>
          </w:p>
        </w:tc>
        <w:tc>
          <w:tcPr>
            <w:tcW w:w="1138" w:type="pct"/>
            <w:shd w:val="clear" w:color="auto" w:fill="D6E3BC"/>
            <w:vAlign w:val="center"/>
          </w:tcPr>
          <w:p w:rsidR="00DE6182" w:rsidRPr="002C7FCD" w:rsidRDefault="00DB0C74" w:rsidP="00953FF8">
            <w:pPr>
              <w:snapToGrid w:val="0"/>
              <w:spacing w:before="20" w:after="20"/>
              <w:jc w:val="center"/>
              <w:rPr>
                <w:rFonts w:eastAsia="標楷體"/>
                <w:sz w:val="22"/>
              </w:rPr>
            </w:pPr>
            <w:r>
              <w:rPr>
                <w:rFonts w:eastAsia="標楷體"/>
                <w:sz w:val="22"/>
              </w:rPr>
              <w:t>38.9</w:t>
            </w:r>
          </w:p>
        </w:tc>
      </w:tr>
      <w:tr w:rsidR="00DE6182" w:rsidRPr="002C7FCD" w:rsidTr="00953FF8">
        <w:trPr>
          <w:jc w:val="center"/>
        </w:trPr>
        <w:tc>
          <w:tcPr>
            <w:tcW w:w="2725" w:type="pct"/>
            <w:shd w:val="clear" w:color="auto" w:fill="D6E3BC"/>
            <w:vAlign w:val="center"/>
          </w:tcPr>
          <w:p w:rsidR="00DE6182" w:rsidRPr="002C7FCD" w:rsidRDefault="00DB0C74" w:rsidP="00282AB8">
            <w:pPr>
              <w:snapToGrid w:val="0"/>
              <w:spacing w:before="20" w:after="20"/>
              <w:ind w:leftChars="200" w:left="480"/>
              <w:rPr>
                <w:rFonts w:eastAsia="標楷體"/>
                <w:sz w:val="22"/>
              </w:rPr>
            </w:pPr>
            <w:r>
              <w:rPr>
                <w:rFonts w:eastAsia="標楷體" w:hint="eastAsia"/>
                <w:sz w:val="22"/>
              </w:rPr>
              <w:t>地級以上城市空氣質量達到國家標準的比例</w:t>
            </w:r>
            <w:r>
              <w:rPr>
                <w:rFonts w:ascii="新細明體" w:hAnsi="新細明體" w:hint="eastAsia"/>
                <w:sz w:val="22"/>
              </w:rPr>
              <w:t>（</w:t>
            </w:r>
            <w:r>
              <w:rPr>
                <w:rFonts w:eastAsia="標楷體"/>
                <w:sz w:val="22"/>
              </w:rPr>
              <w:t>%</w:t>
            </w:r>
            <w:r>
              <w:rPr>
                <w:rFonts w:ascii="新細明體" w:hAnsi="新細明體" w:hint="eastAsia"/>
                <w:sz w:val="22"/>
              </w:rPr>
              <w:t>）</w:t>
            </w:r>
          </w:p>
        </w:tc>
        <w:tc>
          <w:tcPr>
            <w:tcW w:w="1137" w:type="pct"/>
            <w:shd w:val="clear" w:color="auto" w:fill="D6E3BC"/>
            <w:vAlign w:val="center"/>
          </w:tcPr>
          <w:p w:rsidR="00DE6182" w:rsidRPr="002C7FCD" w:rsidRDefault="00DB0C74" w:rsidP="00953FF8">
            <w:pPr>
              <w:snapToGrid w:val="0"/>
              <w:spacing w:before="20" w:after="20"/>
              <w:jc w:val="center"/>
              <w:rPr>
                <w:rFonts w:eastAsia="標楷體"/>
                <w:sz w:val="22"/>
              </w:rPr>
            </w:pPr>
            <w:r>
              <w:rPr>
                <w:rFonts w:eastAsia="標楷體"/>
                <w:sz w:val="22"/>
              </w:rPr>
              <w:t>40.9</w:t>
            </w:r>
          </w:p>
        </w:tc>
        <w:tc>
          <w:tcPr>
            <w:tcW w:w="1138" w:type="pct"/>
            <w:shd w:val="clear" w:color="auto" w:fill="D6E3BC"/>
            <w:vAlign w:val="center"/>
          </w:tcPr>
          <w:p w:rsidR="00DE6182" w:rsidRPr="002C7FCD" w:rsidRDefault="00DB0C74" w:rsidP="00953FF8">
            <w:pPr>
              <w:snapToGrid w:val="0"/>
              <w:spacing w:before="20" w:after="20"/>
              <w:jc w:val="center"/>
              <w:rPr>
                <w:rFonts w:eastAsia="標楷體"/>
                <w:sz w:val="22"/>
              </w:rPr>
            </w:pPr>
            <w:r>
              <w:rPr>
                <w:rFonts w:eastAsia="標楷體"/>
                <w:sz w:val="22"/>
              </w:rPr>
              <w:t>60</w:t>
            </w:r>
          </w:p>
        </w:tc>
      </w:tr>
    </w:tbl>
    <w:p w:rsidR="00800317" w:rsidRDefault="00DB0C74" w:rsidP="00160D66">
      <w:pPr>
        <w:pStyle w:val="a9"/>
        <w:rPr>
          <w:lang w:val="en-US" w:eastAsia="zh-TW"/>
        </w:rPr>
      </w:pPr>
      <w:r w:rsidRPr="00160D66">
        <w:rPr>
          <w:rFonts w:hint="eastAsia"/>
          <w:lang w:val="en-US" w:eastAsia="zh-TW"/>
        </w:rPr>
        <w:t>注：</w:t>
      </w:r>
      <w:r w:rsidRPr="00160D66">
        <w:rPr>
          <w:lang w:val="en-US" w:eastAsia="zh-TW"/>
        </w:rPr>
        <w:t>*</w:t>
      </w:r>
      <w:r w:rsidRPr="00160D66">
        <w:rPr>
          <w:rFonts w:hint="eastAsia"/>
          <w:lang w:val="en-US" w:eastAsia="zh-TW"/>
        </w:rPr>
        <w:t>為</w:t>
      </w:r>
      <w:r w:rsidRPr="00160D66">
        <w:rPr>
          <w:lang w:val="en-US" w:eastAsia="zh-TW"/>
        </w:rPr>
        <w:t>2011</w:t>
      </w:r>
      <w:r w:rsidRPr="00160D66">
        <w:rPr>
          <w:rFonts w:hint="eastAsia"/>
          <w:lang w:val="en-US" w:eastAsia="zh-TW"/>
        </w:rPr>
        <w:t>年數據。</w:t>
      </w:r>
    </w:p>
    <w:p w:rsidR="00160D66" w:rsidRDefault="00DB0C74" w:rsidP="00160D66">
      <w:pPr>
        <w:pStyle w:val="a9"/>
        <w:rPr>
          <w:lang w:val="en-US" w:eastAsia="zh-TW"/>
        </w:rPr>
      </w:pPr>
      <w:r>
        <w:rPr>
          <w:rFonts w:hint="eastAsia"/>
          <w:lang w:val="en-US" w:eastAsia="zh-TW"/>
        </w:rPr>
        <w:t>資料來源：</w:t>
      </w:r>
      <w:r w:rsidRPr="00800317">
        <w:rPr>
          <w:rFonts w:hint="eastAsia"/>
          <w:lang w:val="en-US" w:eastAsia="zh-TW"/>
        </w:rPr>
        <w:t>《國家新型城鎮化規劃（</w:t>
      </w:r>
      <w:r w:rsidRPr="00800317">
        <w:rPr>
          <w:lang w:val="en-US" w:eastAsia="zh-TW"/>
        </w:rPr>
        <w:t>2014</w:t>
      </w:r>
      <w:r w:rsidRPr="00800317">
        <w:rPr>
          <w:rFonts w:hint="eastAsia"/>
          <w:lang w:val="en-US" w:eastAsia="zh-TW"/>
        </w:rPr>
        <w:t>－</w:t>
      </w:r>
      <w:r w:rsidRPr="00800317">
        <w:rPr>
          <w:lang w:val="en-US" w:eastAsia="zh-TW"/>
        </w:rPr>
        <w:t>2020</w:t>
      </w:r>
      <w:r w:rsidRPr="00800317">
        <w:rPr>
          <w:rFonts w:hint="eastAsia"/>
          <w:lang w:val="en-US" w:eastAsia="zh-TW"/>
        </w:rPr>
        <w:t>年）》</w:t>
      </w:r>
      <w:r>
        <w:rPr>
          <w:rFonts w:hint="eastAsia"/>
          <w:lang w:val="en-US" w:eastAsia="zh-TW"/>
        </w:rPr>
        <w:t>。</w:t>
      </w:r>
    </w:p>
    <w:p w:rsidR="00737DE7" w:rsidRDefault="00DB0C74" w:rsidP="00737DE7">
      <w:pPr>
        <w:pStyle w:val="-"/>
        <w:spacing w:before="108" w:after="108"/>
        <w:ind w:firstLine="520"/>
      </w:pPr>
      <w:r>
        <w:rPr>
          <w:rFonts w:hint="eastAsia"/>
        </w:rPr>
        <w:t>其次，在智慧城市建設方面，統籌城市發展的物質、資訊和智力資源，推動物聯網、雲端運算、大數據等新一代資訊技術創新應用。智慧城市建設方向在於資訊網路寬頻化、規劃管理資訊化、基礎設施智慧化、公共服務便捷化、產業發展現代化和社會治理精細化。其中資訊網路寬頻化將推動</w:t>
      </w:r>
      <w:r>
        <w:t>4G</w:t>
      </w:r>
      <w:r w:rsidR="007C3CB5">
        <w:rPr>
          <w:rFonts w:hint="eastAsia"/>
        </w:rPr>
        <w:t>網路建設，加</w:t>
      </w:r>
      <w:r w:rsidR="007C3CB5" w:rsidRPr="00864D77">
        <w:rPr>
          <w:rFonts w:hint="eastAsia"/>
          <w:color w:val="000000"/>
        </w:rPr>
        <w:t>快城市</w:t>
      </w:r>
      <w:r w:rsidRPr="00864D77">
        <w:rPr>
          <w:rFonts w:hint="eastAsia"/>
          <w:color w:val="000000"/>
        </w:rPr>
        <w:t>公共</w:t>
      </w:r>
      <w:r>
        <w:rPr>
          <w:rFonts w:hint="eastAsia"/>
        </w:rPr>
        <w:t>熱點區域無線網域覆蓋。</w:t>
      </w:r>
    </w:p>
    <w:p w:rsidR="00737DE7" w:rsidRDefault="00DB0C74" w:rsidP="00737DE7">
      <w:pPr>
        <w:pStyle w:val="-"/>
        <w:spacing w:before="108" w:after="108"/>
        <w:ind w:firstLine="520"/>
      </w:pPr>
      <w:r>
        <w:rPr>
          <w:rFonts w:hint="eastAsia"/>
        </w:rPr>
        <w:t>最後，在人文城市建設方面，善用城市文化資源，強化傳承與創新，把城市建設為富含歷史底蘊和特色鮮明的人文空間。建設重點在於保護文</w:t>
      </w:r>
      <w:r>
        <w:rPr>
          <w:rFonts w:hint="eastAsia"/>
        </w:rPr>
        <w:lastRenderedPageBreak/>
        <w:t>化和自然遺產；建設文化、體育和休閒設施；公共設施免費開放。強化以人為本的新型城鎮化內涵。</w:t>
      </w:r>
    </w:p>
    <w:p w:rsidR="00625925" w:rsidRDefault="00DB0C74" w:rsidP="00737DE7">
      <w:pPr>
        <w:pStyle w:val="-"/>
        <w:spacing w:before="108" w:after="108"/>
        <w:ind w:firstLine="520"/>
      </w:pPr>
      <w:r>
        <w:rPr>
          <w:rFonts w:hint="eastAsia"/>
        </w:rPr>
        <w:t>從上述新型城市建設三大內涵：綠色、智慧、人文，可以發現出發點都是以人為核心、注重環境的永續發展。綠色城市為生態文明的落實，智慧城市為響應時代的前沿發展，人文城市則是落實以人為核心的新型城鎮化理念。三個城市建設的重點方向將帶動相關產業的發展，未來值得持續關注。</w:t>
      </w:r>
    </w:p>
    <w:p w:rsidR="00084740" w:rsidRPr="00084740" w:rsidRDefault="00DB0C74" w:rsidP="00084740">
      <w:pPr>
        <w:pStyle w:val="-"/>
        <w:spacing w:before="108" w:after="108"/>
        <w:ind w:firstLine="520"/>
      </w:pPr>
      <w:r>
        <w:rPr>
          <w:rFonts w:hint="eastAsia"/>
        </w:rPr>
        <w:t>自《國家新型城鎮化規劃》於</w:t>
      </w:r>
      <w:r>
        <w:t>2014</w:t>
      </w:r>
      <w:r>
        <w:rPr>
          <w:rFonts w:hint="eastAsia"/>
        </w:rPr>
        <w:t>年</w:t>
      </w:r>
      <w:r>
        <w:t>3</w:t>
      </w:r>
      <w:r>
        <w:rPr>
          <w:rFonts w:hint="eastAsia"/>
        </w:rPr>
        <w:t>月推出後，</w:t>
      </w:r>
      <w:r w:rsidR="00F468EE">
        <w:rPr>
          <w:rFonts w:hint="eastAsia"/>
        </w:rPr>
        <w:t>中國大陸國務院</w:t>
      </w:r>
      <w:r>
        <w:rPr>
          <w:rFonts w:hint="eastAsia"/>
        </w:rPr>
        <w:t>於</w:t>
      </w:r>
      <w:r>
        <w:t>7</w:t>
      </w:r>
      <w:r>
        <w:rPr>
          <w:rFonts w:hint="eastAsia"/>
        </w:rPr>
        <w:t>月底</w:t>
      </w:r>
      <w:r w:rsidR="007B11B8">
        <w:rPr>
          <w:rFonts w:hint="eastAsia"/>
        </w:rPr>
        <w:t>公布</w:t>
      </w:r>
      <w:r>
        <w:rPr>
          <w:rFonts w:hint="eastAsia"/>
        </w:rPr>
        <w:t>印發《關於進一步推進戶籍制度改革的意見》此一重量級文件，</w:t>
      </w:r>
      <w:r w:rsidR="00E41F3A">
        <w:rPr>
          <w:rFonts w:hint="eastAsia"/>
        </w:rPr>
        <w:t>宣布</w:t>
      </w:r>
      <w:r>
        <w:rPr>
          <w:rFonts w:hint="eastAsia"/>
        </w:rPr>
        <w:t>要建立城鄉統一的戶口，以及提供基本公共服務與福利的居住證制度，符合條件的居住證持有人可在居住地申請登記常住戶口。其針對</w:t>
      </w:r>
      <w:r w:rsidRPr="00773C96">
        <w:rPr>
          <w:rFonts w:hint="eastAsia"/>
        </w:rPr>
        <w:t>特大城市人口規模</w:t>
      </w:r>
      <w:r>
        <w:rPr>
          <w:rFonts w:hint="eastAsia"/>
        </w:rPr>
        <w:t>將進行</w:t>
      </w:r>
      <w:r w:rsidRPr="00773C96">
        <w:rPr>
          <w:rFonts w:hint="eastAsia"/>
        </w:rPr>
        <w:t>嚴格控制</w:t>
      </w:r>
      <w:r>
        <w:rPr>
          <w:rFonts w:hint="eastAsia"/>
        </w:rPr>
        <w:t>，針對</w:t>
      </w:r>
      <w:r w:rsidRPr="00773C96">
        <w:rPr>
          <w:rFonts w:hint="eastAsia"/>
        </w:rPr>
        <w:t>大城市</w:t>
      </w:r>
      <w:r>
        <w:rPr>
          <w:rFonts w:hint="eastAsia"/>
        </w:rPr>
        <w:t>則要</w:t>
      </w:r>
      <w:r w:rsidRPr="00773C96">
        <w:rPr>
          <w:rFonts w:hint="eastAsia"/>
        </w:rPr>
        <w:t>合理確定落戶條件</w:t>
      </w:r>
      <w:r>
        <w:rPr>
          <w:rFonts w:hint="eastAsia"/>
        </w:rPr>
        <w:t>，針對</w:t>
      </w:r>
      <w:r w:rsidRPr="00773C96">
        <w:rPr>
          <w:rFonts w:hint="eastAsia"/>
        </w:rPr>
        <w:t>中等城市</w:t>
      </w:r>
      <w:r>
        <w:rPr>
          <w:rFonts w:hint="eastAsia"/>
        </w:rPr>
        <w:t>落戶限制則採</w:t>
      </w:r>
      <w:r w:rsidRPr="00773C96">
        <w:rPr>
          <w:rFonts w:hint="eastAsia"/>
        </w:rPr>
        <w:t>有序放開</w:t>
      </w:r>
      <w:r>
        <w:rPr>
          <w:rFonts w:hint="eastAsia"/>
        </w:rPr>
        <w:t>，最後要</w:t>
      </w:r>
      <w:r w:rsidRPr="00773C96">
        <w:rPr>
          <w:rFonts w:hint="eastAsia"/>
        </w:rPr>
        <w:t>全面放開建制鎮和小城市</w:t>
      </w:r>
      <w:r>
        <w:rPr>
          <w:rFonts w:hint="eastAsia"/>
        </w:rPr>
        <w:t>之落戶限制。但由於過去戶口與公共服務或土地權利相連結，未來要推行居住證制度，關鍵還在於財稅體制與土地制度層面的配套改革能否配合，這兩方面的改革仍有待未來更具體的實施內涵來推進，根據本研究對於中國大陸城鎮化專家之訪談，其認為「</w:t>
      </w:r>
      <w:r w:rsidRPr="00084740">
        <w:rPr>
          <w:rFonts w:hint="eastAsia"/>
        </w:rPr>
        <w:t>土地是一個城鎮化當中很難處理的問題，環繞著土地的相關議題很廣</w:t>
      </w:r>
      <w:r>
        <w:t>…</w:t>
      </w:r>
      <w:r w:rsidRPr="00084740">
        <w:rPr>
          <w:rFonts w:hint="eastAsia"/>
        </w:rPr>
        <w:t>既是經濟與產業議題也是社會問題</w:t>
      </w:r>
      <w:r>
        <w:t>…</w:t>
      </w:r>
      <w:r w:rsidRPr="00084740">
        <w:rPr>
          <w:rFonts w:hint="eastAsia"/>
        </w:rPr>
        <w:t>與戶籍、農村發展、財政等問題都相關</w:t>
      </w:r>
      <w:r>
        <w:t>…</w:t>
      </w:r>
      <w:r w:rsidRPr="00084740">
        <w:rPr>
          <w:rFonts w:hint="eastAsia"/>
        </w:rPr>
        <w:t>既成的地方政府土地財政模式以及在土地上獲得既得利益者也成形，都有許多改革困難，需要各方面的配套來齊力推進</w:t>
      </w:r>
      <w:r>
        <w:rPr>
          <w:rFonts w:hint="eastAsia"/>
        </w:rPr>
        <w:t>。」</w:t>
      </w:r>
    </w:p>
    <w:p w:rsidR="00773C96" w:rsidRDefault="00DB0C74" w:rsidP="00773C96">
      <w:pPr>
        <w:pStyle w:val="-"/>
        <w:spacing w:before="108" w:after="108"/>
        <w:ind w:firstLine="520"/>
      </w:pPr>
      <w:r>
        <w:rPr>
          <w:rFonts w:hint="eastAsia"/>
        </w:rPr>
        <w:t>至於未來之進一步改革之動向，</w:t>
      </w:r>
      <w:r>
        <w:t>2014</w:t>
      </w:r>
      <w:r>
        <w:rPr>
          <w:rFonts w:hint="eastAsia"/>
        </w:rPr>
        <w:t>年</w:t>
      </w:r>
      <w:r>
        <w:t>10</w:t>
      </w:r>
      <w:r>
        <w:rPr>
          <w:rFonts w:hint="eastAsia"/>
        </w:rPr>
        <w:t>月</w:t>
      </w:r>
      <w:r>
        <w:t>9</w:t>
      </w:r>
      <w:r>
        <w:rPr>
          <w:rFonts w:hint="eastAsia"/>
        </w:rPr>
        <w:t>日</w:t>
      </w:r>
      <w:r w:rsidR="00EE24EE">
        <w:rPr>
          <w:rFonts w:hint="eastAsia"/>
        </w:rPr>
        <w:t>中國大陸國家發改委</w:t>
      </w:r>
      <w:r>
        <w:rPr>
          <w:rFonts w:hint="eastAsia"/>
        </w:rPr>
        <w:t>副主任朱之鑫在推進新型城鎮化之相關會議上提及將會很快推出如《居住證管理辦法》、《城鎮住房保障條例》、《關於進一步做好農民工工作的若干意見》、《城市規模劃分標準調整方案》等一批推動新型城鎮化的配套政策措施。而針對農業轉移人口落戶、棚戶區和城中村改造、中西部地區就</w:t>
      </w:r>
      <w:r>
        <w:rPr>
          <w:rFonts w:hint="eastAsia"/>
        </w:rPr>
        <w:lastRenderedPageBreak/>
        <w:t>近城鎮化的配套政策方面，十三五規劃將會擬定「住房保障計劃和年度建設規劃」，大力推進各類棚戶區改造以及相關支持方案。</w:t>
      </w:r>
    </w:p>
    <w:p w:rsidR="003718F2" w:rsidRDefault="003718F2" w:rsidP="00067B1A">
      <w:pPr>
        <w:pStyle w:val="2"/>
        <w:spacing w:beforeLines="100" w:before="360" w:after="108"/>
      </w:pPr>
      <w:bookmarkStart w:id="26" w:name="_Toc389203189"/>
      <w:bookmarkStart w:id="27" w:name="_Toc405462585"/>
      <w:r w:rsidRPr="001D0935">
        <w:rPr>
          <w:rFonts w:hint="eastAsia"/>
        </w:rPr>
        <w:t>第</w:t>
      </w:r>
      <w:r w:rsidR="00184771" w:rsidRPr="001D0935">
        <w:rPr>
          <w:rFonts w:hint="eastAsia"/>
        </w:rPr>
        <w:t>四</w:t>
      </w:r>
      <w:r w:rsidRPr="001D0935">
        <w:rPr>
          <w:rFonts w:hint="eastAsia"/>
        </w:rPr>
        <w:t>節　重點區域</w:t>
      </w:r>
      <w:r w:rsidR="006A532A" w:rsidRPr="001D0935">
        <w:rPr>
          <w:rFonts w:hint="eastAsia"/>
        </w:rPr>
        <w:t>發展</w:t>
      </w:r>
      <w:r w:rsidRPr="001D0935">
        <w:rPr>
          <w:rFonts w:hint="eastAsia"/>
        </w:rPr>
        <w:t>規劃</w:t>
      </w:r>
      <w:bookmarkEnd w:id="26"/>
      <w:bookmarkEnd w:id="27"/>
    </w:p>
    <w:p w:rsidR="003718F2" w:rsidRDefault="00DB0C74" w:rsidP="00625925">
      <w:pPr>
        <w:pStyle w:val="-"/>
        <w:spacing w:before="108" w:after="108"/>
        <w:ind w:firstLine="520"/>
      </w:pPr>
      <w:r>
        <w:rPr>
          <w:rFonts w:hint="eastAsia"/>
        </w:rPr>
        <w:t>從上述城鎮化整體的區位規劃，可以瞭解全中國大陸的城鎮</w:t>
      </w:r>
      <w:r w:rsidR="00E41F3A">
        <w:rPr>
          <w:rFonts w:hint="eastAsia"/>
        </w:rPr>
        <w:t>布局</w:t>
      </w:r>
      <w:r>
        <w:rPr>
          <w:rFonts w:hint="eastAsia"/>
        </w:rPr>
        <w:t>，從東部沿海地區京津冀、長三角和珠三角三大城市群，到中西部重點城市群，以及重點邊境口岸城鎮，都有各自著重的發展項目。在新型城鎮化的進程中，區域如何協調發展將是一個重要關鍵。然而歷屆領導人對於</w:t>
      </w:r>
      <w:r w:rsidR="005F5D55">
        <w:rPr>
          <w:rFonts w:hint="eastAsia"/>
        </w:rPr>
        <w:t>中國大陸</w:t>
      </w:r>
      <w:r>
        <w:rPr>
          <w:rFonts w:hint="eastAsia"/>
        </w:rPr>
        <w:t>國家區域發展戰略都有自己的改革重點，像是鄧小平創建深圳經濟特區，江澤民開發上海浦東新區，守成為主的胡錦濤延續江澤民時代的西部大開發。習李上臺後也有側重的區域發展戰略，習近平提出京津冀一體化（京津冀協同發展），即提倡所謂的首都經濟圈；李克強則是提出從黃金水道建設長江經濟帶。另外，珠江－西江經濟帶規劃的推出，則指出了南方新一輪區域發展的重點方向與內涵。</w:t>
      </w:r>
    </w:p>
    <w:p w:rsidR="003718F2" w:rsidRPr="00AF48ED" w:rsidRDefault="00DB0C74" w:rsidP="005A7422">
      <w:pPr>
        <w:pStyle w:val="3"/>
        <w:spacing w:beforeLines="100" w:before="360" w:after="72"/>
        <w:rPr>
          <w:rFonts w:ascii="Times New Roman" w:hAnsi="Times New Roman"/>
        </w:rPr>
      </w:pPr>
      <w:r w:rsidRPr="001D0935">
        <w:rPr>
          <w:rFonts w:ascii="Times New Roman" w:hAnsi="Times New Roman" w:hint="eastAsia"/>
        </w:rPr>
        <w:t>壹、京津冀一體化</w:t>
      </w:r>
    </w:p>
    <w:p w:rsidR="00524457" w:rsidRDefault="00DB0C74" w:rsidP="00625925">
      <w:pPr>
        <w:pStyle w:val="-"/>
        <w:spacing w:before="108" w:after="108"/>
        <w:ind w:firstLine="520"/>
      </w:pPr>
      <w:r>
        <w:t>2014</w:t>
      </w:r>
      <w:r>
        <w:rPr>
          <w:rFonts w:hint="eastAsia"/>
        </w:rPr>
        <w:t>年</w:t>
      </w:r>
      <w:r>
        <w:t>2</w:t>
      </w:r>
      <w:r>
        <w:rPr>
          <w:rFonts w:hint="eastAsia"/>
        </w:rPr>
        <w:t>月習近平提出京津冀一體化，京津冀協同發展被提高到最高的</w:t>
      </w:r>
      <w:r w:rsidR="005F5D55">
        <w:rPr>
          <w:rFonts w:hint="eastAsia"/>
        </w:rPr>
        <w:t>中國大陸</w:t>
      </w:r>
      <w:r>
        <w:rPr>
          <w:rFonts w:hint="eastAsia"/>
        </w:rPr>
        <w:t>國家戰略地位，這是極少數領導人如此密集部署北京經濟戰略工作，也是深化改革領導小組成立後首推的計畫，被稱為「一號工程」。「京津冀協同發展」概念始於</w:t>
      </w:r>
      <w:r>
        <w:t>1980</w:t>
      </w:r>
      <w:r>
        <w:rPr>
          <w:rFonts w:hint="eastAsia"/>
        </w:rPr>
        <w:t>年代改革開放初期，</w:t>
      </w:r>
      <w:r>
        <w:t>2004</w:t>
      </w:r>
      <w:r w:rsidR="00DE1D40">
        <w:rPr>
          <w:rFonts w:hint="eastAsia"/>
        </w:rPr>
        <w:t>年</w:t>
      </w:r>
      <w:r w:rsidR="00EE24EE">
        <w:rPr>
          <w:rFonts w:hint="eastAsia"/>
        </w:rPr>
        <w:t>中國大陸國家發改委</w:t>
      </w:r>
      <w:r>
        <w:rPr>
          <w:rFonts w:hint="eastAsia"/>
        </w:rPr>
        <w:t>正式啟動京津冀都市圈規劃，直到</w:t>
      </w:r>
      <w:r>
        <w:t>2011</w:t>
      </w:r>
      <w:r>
        <w:rPr>
          <w:rFonts w:hint="eastAsia"/>
        </w:rPr>
        <w:t>年十二五提出「打造首都經濟圈」，「京津冀一體化」正式成為</w:t>
      </w:r>
      <w:r w:rsidR="005F5D55">
        <w:rPr>
          <w:rFonts w:hint="eastAsia"/>
        </w:rPr>
        <w:t>中國大陸</w:t>
      </w:r>
      <w:r>
        <w:rPr>
          <w:rFonts w:hint="eastAsia"/>
        </w:rPr>
        <w:t>國家戰略。京津冀是繼長三角和珠三角後，第三個最具活力的城市群，但當長三角、珠三角早已成經濟發達地區，京津冀卻仍停留在構想階段。這主要是因為京津冀區域內行政層級過多，包含一個首都、兩個直轄市、三個行政區，地方間利益競爭過大，行政壁壘難突破。因此，習近平主張將京津冀「三根線擰成一股繩」，</w:t>
      </w:r>
      <w:r>
        <w:rPr>
          <w:rFonts w:hint="eastAsia"/>
        </w:rPr>
        <w:lastRenderedPageBreak/>
        <w:t>希望打破各行政區各自為政的思維，並強調京津冀在全國發展</w:t>
      </w:r>
      <w:r w:rsidR="00E41F3A">
        <w:rPr>
          <w:rFonts w:hint="eastAsia"/>
        </w:rPr>
        <w:t>布局</w:t>
      </w:r>
      <w:r>
        <w:rPr>
          <w:rFonts w:hint="eastAsia"/>
        </w:rPr>
        <w:t>中的戰略地位。</w:t>
      </w:r>
    </w:p>
    <w:p w:rsidR="00260C6F" w:rsidRPr="00625925" w:rsidRDefault="00796180" w:rsidP="00260C6F">
      <w:pPr>
        <w:pStyle w:val="-"/>
        <w:spacing w:beforeLines="0" w:before="0" w:afterLines="0" w:after="0" w:line="240" w:lineRule="auto"/>
        <w:ind w:firstLineChars="0" w:firstLine="0"/>
        <w:jc w:val="center"/>
      </w:pPr>
      <w:r>
        <w:rPr>
          <w:noProof/>
        </w:rPr>
        <w:drawing>
          <wp:inline distT="0" distB="0" distL="0" distR="0">
            <wp:extent cx="4408170" cy="3780155"/>
            <wp:effectExtent l="0" t="0" r="0" b="0"/>
            <wp:docPr id="6" name="圖片 6" descr="http://www.he.xinhuanet.com/news/2014-05/15/1110699673_140012068001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xinhuanet.com/news/2014-05/15/1110699673_14001206800191n.jpg"/>
                    <pic:cNvPicPr>
                      <a:picLocks noChangeAspect="1" noChangeArrowheads="1"/>
                    </pic:cNvPicPr>
                  </pic:nvPicPr>
                  <pic:blipFill>
                    <a:blip r:embed="rId16">
                      <a:extLst>
                        <a:ext uri="{28A0092B-C50C-407E-A947-70E740481C1C}">
                          <a14:useLocalDpi xmlns:a14="http://schemas.microsoft.com/office/drawing/2010/main" val="0"/>
                        </a:ext>
                      </a:extLst>
                    </a:blip>
                    <a:srcRect t="5228"/>
                    <a:stretch>
                      <a:fillRect/>
                    </a:stretch>
                  </pic:blipFill>
                  <pic:spPr bwMode="auto">
                    <a:xfrm>
                      <a:off x="0" y="0"/>
                      <a:ext cx="4408170" cy="3780155"/>
                    </a:xfrm>
                    <a:prstGeom prst="rect">
                      <a:avLst/>
                    </a:prstGeom>
                    <a:noFill/>
                    <a:ln>
                      <a:noFill/>
                    </a:ln>
                  </pic:spPr>
                </pic:pic>
              </a:graphicData>
            </a:graphic>
          </wp:inline>
        </w:drawing>
      </w:r>
    </w:p>
    <w:p w:rsidR="00260C6F" w:rsidRPr="00BE1234" w:rsidRDefault="00DB0C74" w:rsidP="00260C6F">
      <w:pPr>
        <w:pStyle w:val="a9"/>
        <w:ind w:firstLineChars="496" w:firstLine="992"/>
        <w:rPr>
          <w:lang w:val="en-US" w:eastAsia="zh-TW"/>
        </w:rPr>
      </w:pPr>
      <w:r w:rsidRPr="00BE1234">
        <w:rPr>
          <w:rFonts w:hint="eastAsia"/>
          <w:lang w:val="en-US" w:eastAsia="zh-TW"/>
        </w:rPr>
        <w:t>資料來源：新華網，</w:t>
      </w:r>
      <w:r w:rsidRPr="00BE1234">
        <w:rPr>
          <w:lang w:val="en-US" w:eastAsia="zh-TW"/>
        </w:rPr>
        <w:t>2014</w:t>
      </w:r>
      <w:r w:rsidRPr="00BE1234">
        <w:rPr>
          <w:rFonts w:hint="eastAsia"/>
          <w:lang w:val="en-US" w:eastAsia="zh-TW"/>
        </w:rPr>
        <w:t>年</w:t>
      </w:r>
      <w:r w:rsidRPr="00BE1234">
        <w:rPr>
          <w:lang w:val="en-US" w:eastAsia="zh-TW"/>
        </w:rPr>
        <w:t>4</w:t>
      </w:r>
      <w:r w:rsidRPr="00BE1234">
        <w:rPr>
          <w:rFonts w:hint="eastAsia"/>
          <w:lang w:val="en-US" w:eastAsia="zh-TW"/>
        </w:rPr>
        <w:t>月</w:t>
      </w:r>
      <w:r w:rsidRPr="00BE1234">
        <w:rPr>
          <w:lang w:val="en-US" w:eastAsia="zh-TW"/>
        </w:rPr>
        <w:t>10</w:t>
      </w:r>
      <w:r w:rsidRPr="00BE1234">
        <w:rPr>
          <w:rFonts w:hint="eastAsia"/>
          <w:lang w:val="en-US" w:eastAsia="zh-TW"/>
        </w:rPr>
        <w:t>日。</w:t>
      </w:r>
    </w:p>
    <w:p w:rsidR="00260C6F" w:rsidRDefault="00DB0C74" w:rsidP="00260C6F">
      <w:pPr>
        <w:pStyle w:val="af0"/>
      </w:pPr>
      <w:bookmarkStart w:id="28" w:name="_Toc405462620"/>
      <w:r w:rsidRPr="002D13F3">
        <w:rPr>
          <w:rFonts w:hint="eastAsia"/>
        </w:rPr>
        <w:t>圖</w:t>
      </w:r>
      <w:r>
        <w:t>2-5</w:t>
      </w:r>
      <w:r>
        <w:rPr>
          <w:rFonts w:hint="eastAsia"/>
        </w:rPr>
        <w:t xml:space="preserve">　京津冀地理位置和交通示意圖</w:t>
      </w:r>
      <w:bookmarkEnd w:id="28"/>
    </w:p>
    <w:p w:rsidR="00524457" w:rsidRDefault="00DB0C74" w:rsidP="00524457">
      <w:pPr>
        <w:pStyle w:val="-"/>
        <w:spacing w:before="108" w:after="108"/>
        <w:ind w:firstLine="520"/>
      </w:pPr>
      <w:r>
        <w:rPr>
          <w:rFonts w:hint="eastAsia"/>
        </w:rPr>
        <w:t>目前，從習近平提出概念至今已超過半年，但</w:t>
      </w:r>
      <w:r w:rsidRPr="00524457">
        <w:rPr>
          <w:rFonts w:hint="eastAsia"/>
        </w:rPr>
        <w:t>京津冀協同發展規劃</w:t>
      </w:r>
      <w:r>
        <w:rPr>
          <w:rFonts w:hint="eastAsia"/>
        </w:rPr>
        <w:t>仍在</w:t>
      </w:r>
      <w:r w:rsidR="00EE24EE">
        <w:rPr>
          <w:rFonts w:hint="eastAsia"/>
        </w:rPr>
        <w:t>中國大陸國家發改委</w:t>
      </w:r>
      <w:r>
        <w:rPr>
          <w:rFonts w:hint="eastAsia"/>
        </w:rPr>
        <w:t>編製當中，顯示此一規劃難度高。我們僅能根據媒體整理重要官員的說法。例如，</w:t>
      </w:r>
      <w:r w:rsidR="00EE24EE">
        <w:rPr>
          <w:rFonts w:hint="eastAsia"/>
        </w:rPr>
        <w:t>發改委副秘書長范</w:t>
      </w:r>
      <w:r>
        <w:rPr>
          <w:rFonts w:hint="eastAsia"/>
        </w:rPr>
        <w:t>恒山指出，該規劃將重新審視並明確京津冀各自功能定位，以優化首都功能為重點，努力實現優勢互補、協同發展。以該經濟區而言，</w:t>
      </w:r>
      <w:r w:rsidR="00EE24EE">
        <w:rPr>
          <w:rFonts w:hint="eastAsia"/>
        </w:rPr>
        <w:t>范</w:t>
      </w:r>
      <w:r>
        <w:rPr>
          <w:rFonts w:hint="eastAsia"/>
        </w:rPr>
        <w:t>恒山也指出，京津冀的地位十分特殊、十分重要，是「東部地區的重要增長極，是推動</w:t>
      </w:r>
      <w:r w:rsidR="005F5D55">
        <w:rPr>
          <w:rFonts w:hint="eastAsia"/>
        </w:rPr>
        <w:t>中國大陸</w:t>
      </w:r>
      <w:r>
        <w:rPr>
          <w:rFonts w:hint="eastAsia"/>
        </w:rPr>
        <w:t>國家經濟發展的重要引擎和高水準參與國際競爭合作的戰略區域」。但是目前面臨的問題和挑戰包括：北京城市功能過於集聚、人口成長過快、城市規劃趕不上情勢變化、三地的定位不清且分工不合理、區域之間的內發展落差大等等；另外，此區雖然城市人口密度高，但是大小城市間的發展不協調，</w:t>
      </w:r>
      <w:r>
        <w:rPr>
          <w:rFonts w:hint="eastAsia"/>
        </w:rPr>
        <w:lastRenderedPageBreak/>
        <w:t>中心城市的輻射帶動能力比較弱，加上還有資源環境的制約明顯，如水資源短缺、大氣污染問題嚴重等問題也都迫在眉睫，有賴區域間協同發展、共同解決。</w:t>
      </w:r>
    </w:p>
    <w:p w:rsidR="00871C7B" w:rsidRDefault="00DB0C74" w:rsidP="00524457">
      <w:pPr>
        <w:pStyle w:val="-"/>
        <w:spacing w:before="108" w:after="108"/>
        <w:ind w:firstLine="520"/>
      </w:pPr>
      <w:r>
        <w:rPr>
          <w:rFonts w:hint="eastAsia"/>
        </w:rPr>
        <w:t>範恒山強調，為了優化首都功能，將著眼於疏解北京部分非首都的核心功能，規劃將推進包括交通、基礎設施互聯互通、產業轉型升級與轉移對接，實現創新驅動發展，統籌對接社會事業和公共服務，加強生態建設與環境保護，提升資源能源保障水準，擴大對內對外開放等；另外將提出促進京津冀協同發展的重大改革舉措和財政、產業、投資、人口、社保、生態、環保、土地等具體保障套措施。</w:t>
      </w:r>
    </w:p>
    <w:p w:rsidR="00260C6F" w:rsidRDefault="00DB0C74" w:rsidP="00524457">
      <w:pPr>
        <w:pStyle w:val="-"/>
        <w:spacing w:before="108" w:after="108"/>
        <w:ind w:firstLine="520"/>
      </w:pPr>
      <w:r>
        <w:rPr>
          <w:rFonts w:hint="eastAsia"/>
        </w:rPr>
        <w:t>不過，中央的號召對於地方以及企業等都會造成實質效果。例如，北京、天津與河北等三省市政府都已經開始了諸多整合與協調的活動，包括三方之間以及兩兩之間的考察、座談、協議簽定等都已陸續進行，</w:t>
      </w:r>
      <w:r w:rsidRPr="00244EC9">
        <w:rPr>
          <w:rFonts w:hint="eastAsia"/>
        </w:rPr>
        <w:t>三</w:t>
      </w:r>
      <w:r>
        <w:rPr>
          <w:rFonts w:hint="eastAsia"/>
        </w:rPr>
        <w:t>方共同繪製之</w:t>
      </w:r>
      <w:r w:rsidRPr="00244EC9">
        <w:rPr>
          <w:rFonts w:hint="eastAsia"/>
        </w:rPr>
        <w:t>交通、產業園區、環保協同發展</w:t>
      </w:r>
      <w:r>
        <w:rPr>
          <w:rFonts w:hint="eastAsia"/>
        </w:rPr>
        <w:t>熱點之分</w:t>
      </w:r>
      <w:r w:rsidR="006A233B">
        <w:rPr>
          <w:rFonts w:hint="eastAsia"/>
        </w:rPr>
        <w:t>布</w:t>
      </w:r>
      <w:r>
        <w:rPr>
          <w:rFonts w:hint="eastAsia"/>
        </w:rPr>
        <w:t>圖也已上報中央。</w:t>
      </w:r>
      <w:r w:rsidRPr="00244EC9">
        <w:rPr>
          <w:rFonts w:hint="eastAsia"/>
        </w:rPr>
        <w:t>河北省省長</w:t>
      </w:r>
      <w:r>
        <w:rPr>
          <w:rFonts w:hint="eastAsia"/>
        </w:rPr>
        <w:t>更是率先於</w:t>
      </w:r>
      <w:r w:rsidRPr="00244EC9">
        <w:t>10</w:t>
      </w:r>
      <w:r w:rsidRPr="00244EC9">
        <w:rPr>
          <w:rFonts w:hint="eastAsia"/>
        </w:rPr>
        <w:t>月</w:t>
      </w:r>
      <w:r w:rsidRPr="00244EC9">
        <w:t>8</w:t>
      </w:r>
      <w:r w:rsidRPr="00244EC9">
        <w:rPr>
          <w:rFonts w:hint="eastAsia"/>
        </w:rPr>
        <w:t>日</w:t>
      </w:r>
      <w:r>
        <w:rPr>
          <w:rFonts w:hint="eastAsia"/>
        </w:rPr>
        <w:t>之</w:t>
      </w:r>
      <w:r w:rsidRPr="00244EC9">
        <w:rPr>
          <w:rFonts w:hint="eastAsia"/>
        </w:rPr>
        <w:t>省政府常務會議</w:t>
      </w:r>
      <w:r>
        <w:rPr>
          <w:rFonts w:hint="eastAsia"/>
        </w:rPr>
        <w:t>上</w:t>
      </w:r>
      <w:r w:rsidRPr="00244EC9">
        <w:rPr>
          <w:rFonts w:hint="eastAsia"/>
        </w:rPr>
        <w:t>，研究部署</w:t>
      </w:r>
      <w:r>
        <w:rPr>
          <w:rFonts w:hint="eastAsia"/>
        </w:rPr>
        <w:t>了河北省在</w:t>
      </w:r>
      <w:r w:rsidRPr="00244EC9">
        <w:rPr>
          <w:rFonts w:hint="eastAsia"/>
        </w:rPr>
        <w:t>深入推進京津冀協同發展</w:t>
      </w:r>
      <w:r>
        <w:rPr>
          <w:rFonts w:hint="eastAsia"/>
        </w:rPr>
        <w:t>上關於</w:t>
      </w:r>
      <w:r w:rsidRPr="00244EC9">
        <w:rPr>
          <w:rFonts w:hint="eastAsia"/>
        </w:rPr>
        <w:t>交通、生態環保、產業</w:t>
      </w:r>
      <w:r>
        <w:rPr>
          <w:rFonts w:hint="eastAsia"/>
        </w:rPr>
        <w:t>等</w:t>
      </w:r>
      <w:r w:rsidRPr="00244EC9">
        <w:rPr>
          <w:rFonts w:hint="eastAsia"/>
        </w:rPr>
        <w:t>三個領域</w:t>
      </w:r>
      <w:r>
        <w:rPr>
          <w:rFonts w:hint="eastAsia"/>
        </w:rPr>
        <w:t>的</w:t>
      </w:r>
      <w:r w:rsidRPr="00244EC9">
        <w:rPr>
          <w:rFonts w:hint="eastAsia"/>
        </w:rPr>
        <w:t>工作。</w:t>
      </w:r>
      <w:r>
        <w:rPr>
          <w:rFonts w:hint="eastAsia"/>
        </w:rPr>
        <w:t>在實際作為上，</w:t>
      </w:r>
      <w:r w:rsidRPr="00244EC9">
        <w:rPr>
          <w:rFonts w:hint="eastAsia"/>
        </w:rPr>
        <w:t>京津冀海關區域通關一體化</w:t>
      </w:r>
      <w:r>
        <w:rPr>
          <w:rFonts w:hint="eastAsia"/>
        </w:rPr>
        <w:t>更是在</w:t>
      </w:r>
      <w:r>
        <w:t>7-9</w:t>
      </w:r>
      <w:r>
        <w:rPr>
          <w:rFonts w:hint="eastAsia"/>
        </w:rPr>
        <w:t>月的時間內完成區域海關連通一體化措施。</w:t>
      </w:r>
    </w:p>
    <w:p w:rsidR="00524457" w:rsidRDefault="00DB0C74" w:rsidP="00625925">
      <w:pPr>
        <w:pStyle w:val="-"/>
        <w:spacing w:before="108" w:after="108"/>
        <w:ind w:firstLine="520"/>
      </w:pPr>
      <w:r>
        <w:rPr>
          <w:rFonts w:hint="eastAsia"/>
        </w:rPr>
        <w:t>京津冀一體化可望成為新型城鎮化的重要典範，北京和天津雙龍頭的強勢競爭，讓河北處於相當落後階段，人均</w:t>
      </w:r>
      <w:r>
        <w:t>GDP</w:t>
      </w:r>
      <w:r>
        <w:rPr>
          <w:rFonts w:hint="eastAsia"/>
        </w:rPr>
        <w:t>僅京津的三分之一，形成環首都貧困帶。而北京城市規模過大、產業結構和空間分</w:t>
      </w:r>
      <w:r w:rsidR="006A233B">
        <w:rPr>
          <w:rFonts w:hint="eastAsia"/>
        </w:rPr>
        <w:t>布</w:t>
      </w:r>
      <w:r>
        <w:rPr>
          <w:rFonts w:hint="eastAsia"/>
        </w:rPr>
        <w:t>不當，環境的超負荷造成大範圍霾霧問題。透過京津冀一體化將能夠促進京津冀周邊的城鄉融合，要將人口和產業向城市群內中小城市和小城鎮疏散，尤其是離北京和天津較近的城郊將成為新型城鎮化戰略發展的切入點，分擔北京和天津的部分功能，讓區域內更趨一體化發展。</w:t>
      </w:r>
    </w:p>
    <w:p w:rsidR="003718F2" w:rsidRPr="00AF48ED" w:rsidRDefault="00DB0C74" w:rsidP="005A7422">
      <w:pPr>
        <w:pStyle w:val="3"/>
        <w:spacing w:beforeLines="100" w:before="360" w:after="72"/>
        <w:rPr>
          <w:rFonts w:ascii="Times New Roman" w:hAnsi="Times New Roman"/>
        </w:rPr>
      </w:pPr>
      <w:r w:rsidRPr="001D0935">
        <w:rPr>
          <w:rFonts w:ascii="Times New Roman" w:hAnsi="Times New Roman" w:hint="eastAsia"/>
        </w:rPr>
        <w:lastRenderedPageBreak/>
        <w:t>貳、長江經濟帶</w:t>
      </w:r>
    </w:p>
    <w:p w:rsidR="00D45D58" w:rsidRPr="00D45D58" w:rsidRDefault="00DB0C74" w:rsidP="00D45D58">
      <w:pPr>
        <w:pStyle w:val="-"/>
        <w:spacing w:before="108" w:after="108"/>
        <w:ind w:firstLine="520"/>
      </w:pPr>
      <w:r>
        <w:rPr>
          <w:rFonts w:hint="eastAsia"/>
        </w:rPr>
        <w:t>中國大陸的中部崛起戰略於</w:t>
      </w:r>
      <w:r>
        <w:t>2006</w:t>
      </w:r>
      <w:r>
        <w:rPr>
          <w:rFonts w:hint="eastAsia"/>
        </w:rPr>
        <w:t>年推出之後，在</w:t>
      </w:r>
      <w:r>
        <w:t>2012</w:t>
      </w:r>
      <w:r>
        <w:rPr>
          <w:rFonts w:hint="eastAsia"/>
        </w:rPr>
        <w:t>年底的十八大前後，有兩個重要的新動向，分別是中原經濟區與長江中三角的新發展，前者在</w:t>
      </w:r>
      <w:r>
        <w:t>2012</w:t>
      </w:r>
      <w:r>
        <w:rPr>
          <w:rFonts w:hint="eastAsia"/>
        </w:rPr>
        <w:t>年</w:t>
      </w:r>
      <w:r>
        <w:t>11</w:t>
      </w:r>
      <w:r>
        <w:rPr>
          <w:rFonts w:hint="eastAsia"/>
        </w:rPr>
        <w:t>月正式</w:t>
      </w:r>
      <w:r w:rsidR="0090432D">
        <w:rPr>
          <w:rFonts w:hint="eastAsia"/>
        </w:rPr>
        <w:t>發布</w:t>
      </w:r>
      <w:r>
        <w:rPr>
          <w:rFonts w:hint="eastAsia"/>
        </w:rPr>
        <w:t>規劃文件，後者在即將上任的新總理李克強主導下由原先的湖北、湖南與江西三省陣容擴大，加入了安徽省，希望能形成中國大陸經濟成長的「第四極」（在長三角、珠三角與京津冀之後）。　　在安徽加入之後，將原來由武漢、南昌、長沙等</w:t>
      </w:r>
      <w:r>
        <w:t>3</w:t>
      </w:r>
      <w:r>
        <w:rPr>
          <w:rFonts w:hint="eastAsia"/>
        </w:rPr>
        <w:t>個點所構成的三角形轉變為一個更大的三角形：由過合肥的經線、過長沙的緯線與過武漢的斜線所構成的長江中游地區（亦有人簡單將</w:t>
      </w:r>
      <w:r>
        <w:t>4</w:t>
      </w:r>
      <w:r>
        <w:rPr>
          <w:rFonts w:hint="eastAsia"/>
        </w:rPr>
        <w:t>個省會連起而稱為中四角）。新的中三角東接長三角、南連珠三角，地理區位極為關鍵，擁有充足的水資源、豐富的人力資源，覆蓋區域近</w:t>
      </w:r>
      <w:r>
        <w:t>44</w:t>
      </w:r>
      <w:r>
        <w:rPr>
          <w:rFonts w:hint="eastAsia"/>
        </w:rPr>
        <w:t>萬平方公里，包括</w:t>
      </w:r>
      <w:r>
        <w:t>40</w:t>
      </w:r>
      <w:r>
        <w:rPr>
          <w:rFonts w:hint="eastAsia"/>
        </w:rPr>
        <w:t>個市，人口達</w:t>
      </w:r>
      <w:r>
        <w:t>1.6</w:t>
      </w:r>
      <w:r>
        <w:rPr>
          <w:rFonts w:hint="eastAsia"/>
        </w:rPr>
        <w:t>億，</w:t>
      </w:r>
      <w:r>
        <w:t>4</w:t>
      </w:r>
      <w:r>
        <w:rPr>
          <w:rFonts w:hint="eastAsia"/>
        </w:rPr>
        <w:t>個省的</w:t>
      </w:r>
      <w:r>
        <w:t>GDP</w:t>
      </w:r>
      <w:r>
        <w:rPr>
          <w:rFonts w:hint="eastAsia"/>
        </w:rPr>
        <w:t>都已超過兆元人民幣。</w:t>
      </w:r>
    </w:p>
    <w:p w:rsidR="00625925" w:rsidRDefault="00DB0C74" w:rsidP="00963EE9">
      <w:pPr>
        <w:pStyle w:val="-"/>
        <w:spacing w:before="108" w:after="108"/>
        <w:ind w:firstLine="520"/>
      </w:pPr>
      <w:r>
        <w:t>2014</w:t>
      </w:r>
      <w:r w:rsidRPr="00625925">
        <w:rPr>
          <w:rFonts w:hint="eastAsia"/>
        </w:rPr>
        <w:t>年</w:t>
      </w:r>
      <w:r w:rsidRPr="00625925">
        <w:t>4</w:t>
      </w:r>
      <w:r w:rsidRPr="00625925">
        <w:rPr>
          <w:rFonts w:hint="eastAsia"/>
        </w:rPr>
        <w:t>月</w:t>
      </w:r>
      <w:r>
        <w:rPr>
          <w:rFonts w:hint="eastAsia"/>
        </w:rPr>
        <w:t>，中國大陸國務院總理</w:t>
      </w:r>
      <w:r w:rsidRPr="00625925">
        <w:rPr>
          <w:rFonts w:hint="eastAsia"/>
        </w:rPr>
        <w:t>李克強考察黃金水道建設時</w:t>
      </w:r>
      <w:r>
        <w:rPr>
          <w:rFonts w:hint="eastAsia"/>
        </w:rPr>
        <w:t>，進一步</w:t>
      </w:r>
      <w:r w:rsidRPr="00625925">
        <w:rPr>
          <w:rFonts w:hint="eastAsia"/>
        </w:rPr>
        <w:t>表示要將長江經濟帶打造成經濟發展的新引擎，成為中國大陸區域發展的新戰略。這是繼西部大開發和中部崛起之後，又一個面向中西部地區的</w:t>
      </w:r>
      <w:r>
        <w:rPr>
          <w:rFonts w:hint="eastAsia"/>
        </w:rPr>
        <w:t>重要國家級</w:t>
      </w:r>
      <w:r w:rsidRPr="00625925">
        <w:rPr>
          <w:rFonts w:hint="eastAsia"/>
        </w:rPr>
        <w:t>發展戰略。長江是中國大陸第一大河流、世界第三大，沿線貨運量為全球內陸河第一位，沿途涵蓋</w:t>
      </w:r>
      <w:r w:rsidRPr="00625925">
        <w:t>11</w:t>
      </w:r>
      <w:r w:rsidRPr="00625925">
        <w:rPr>
          <w:rFonts w:hint="eastAsia"/>
        </w:rPr>
        <w:t>個省市，包含上海、江蘇、浙江、安徽、江西、湖北、湖南、四川、重慶、雲南、貴州，占國土面積</w:t>
      </w:r>
      <w:r w:rsidRPr="00625925">
        <w:t>21.4%</w:t>
      </w:r>
      <w:r w:rsidRPr="00625925">
        <w:rPr>
          <w:rFonts w:hint="eastAsia"/>
        </w:rPr>
        <w:t>，國內生產總值占全國</w:t>
      </w:r>
      <w:r w:rsidRPr="00625925">
        <w:t>40%</w:t>
      </w:r>
      <w:r w:rsidRPr="00625925">
        <w:rPr>
          <w:rFonts w:hint="eastAsia"/>
        </w:rPr>
        <w:t>以上（圖</w:t>
      </w:r>
      <w:r w:rsidRPr="00625925">
        <w:t>2-6</w:t>
      </w:r>
      <w:r w:rsidRPr="00625925">
        <w:rPr>
          <w:rFonts w:hint="eastAsia"/>
        </w:rPr>
        <w:t>）。李克強認為中國大陸經濟發展到目前階段，需要利用這條連接東西部的水運大通道，建構沿海與中西部相互支撐、互動的新格局。並指出長江為「黃金水道」及沿江各地是「珍珠鍊」，建設完善的綜合交通體系，不僅可以帶動沿江地區發展，還能帶動整個流域，讓「黃金水道」發揮「黃金效應」。</w:t>
      </w:r>
    </w:p>
    <w:p w:rsidR="00625925" w:rsidRPr="00625925" w:rsidRDefault="00796180" w:rsidP="004C51D1">
      <w:pPr>
        <w:pStyle w:val="-"/>
        <w:spacing w:beforeLines="0" w:before="0" w:afterLines="0" w:after="0" w:line="240" w:lineRule="auto"/>
        <w:ind w:leftChars="-118" w:left="-283" w:firstLineChars="0" w:firstLine="0"/>
        <w:jc w:val="center"/>
      </w:pPr>
      <w:r>
        <w:rPr>
          <w:noProof/>
        </w:rPr>
        <w:lastRenderedPageBreak/>
        <w:drawing>
          <wp:inline distT="0" distB="0" distL="0" distR="0">
            <wp:extent cx="5581650" cy="4312920"/>
            <wp:effectExtent l="0" t="0" r="0" b="0"/>
            <wp:docPr id="7" name="圖片 7" descr="http://camera.chinatimes.com/newsphoto/2014-04-30/clipping/N23A00_T_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mera.chinatimes.com/newsphoto/2014-04-30/clipping/N23A00_T_01_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4312920"/>
                    </a:xfrm>
                    <a:prstGeom prst="rect">
                      <a:avLst/>
                    </a:prstGeom>
                    <a:noFill/>
                    <a:ln>
                      <a:noFill/>
                    </a:ln>
                  </pic:spPr>
                </pic:pic>
              </a:graphicData>
            </a:graphic>
          </wp:inline>
        </w:drawing>
      </w:r>
    </w:p>
    <w:p w:rsidR="00625925" w:rsidRPr="00011BD3" w:rsidRDefault="00DB0C74" w:rsidP="007F2D37">
      <w:pPr>
        <w:pStyle w:val="a9"/>
        <w:rPr>
          <w:lang w:val="en-US" w:eastAsia="zh-TW"/>
        </w:rPr>
      </w:pPr>
      <w:r w:rsidRPr="00011BD3">
        <w:rPr>
          <w:rFonts w:hint="eastAsia"/>
          <w:lang w:val="en-US" w:eastAsia="zh-TW"/>
        </w:rPr>
        <w:t>資料來源：</w:t>
      </w:r>
      <w:r w:rsidR="00683FAE">
        <w:rPr>
          <w:rFonts w:hint="eastAsia"/>
          <w:lang w:val="en-US" w:eastAsia="zh-TW"/>
        </w:rPr>
        <w:t>旺報，「</w:t>
      </w:r>
      <w:r w:rsidR="00683FAE" w:rsidRPr="00683FAE">
        <w:rPr>
          <w:rFonts w:hint="eastAsia"/>
          <w:lang w:val="en-US" w:eastAsia="zh-TW"/>
        </w:rPr>
        <w:t>長江經濟帶</w:t>
      </w:r>
      <w:r w:rsidR="00683FAE" w:rsidRPr="00683FAE">
        <w:rPr>
          <w:rFonts w:hint="eastAsia"/>
          <w:lang w:val="en-US" w:eastAsia="zh-TW"/>
        </w:rPr>
        <w:t xml:space="preserve"> </w:t>
      </w:r>
      <w:r w:rsidR="00683FAE" w:rsidRPr="00683FAE">
        <w:rPr>
          <w:rFonts w:hint="eastAsia"/>
          <w:lang w:val="en-US" w:eastAsia="zh-TW"/>
        </w:rPr>
        <w:t>扮陸經改新引擎</w:t>
      </w:r>
      <w:r w:rsidR="00683FAE">
        <w:rPr>
          <w:rFonts w:hint="eastAsia"/>
          <w:lang w:val="en-US" w:eastAsia="zh-TW"/>
        </w:rPr>
        <w:t>」，</w:t>
      </w:r>
      <w:r w:rsidR="00683FAE">
        <w:rPr>
          <w:rFonts w:hint="eastAsia"/>
          <w:lang w:val="en-US" w:eastAsia="zh-TW"/>
        </w:rPr>
        <w:t>2014</w:t>
      </w:r>
      <w:r w:rsidR="00683FAE">
        <w:rPr>
          <w:rFonts w:hint="eastAsia"/>
          <w:lang w:val="en-US" w:eastAsia="zh-TW"/>
        </w:rPr>
        <w:t>年</w:t>
      </w:r>
      <w:r w:rsidR="00683FAE">
        <w:rPr>
          <w:rFonts w:hint="eastAsia"/>
          <w:lang w:val="en-US" w:eastAsia="zh-TW"/>
        </w:rPr>
        <w:t>4</w:t>
      </w:r>
      <w:r w:rsidR="00683FAE">
        <w:rPr>
          <w:rFonts w:hint="eastAsia"/>
          <w:lang w:val="en-US" w:eastAsia="zh-TW"/>
        </w:rPr>
        <w:t>月</w:t>
      </w:r>
      <w:r w:rsidR="00683FAE">
        <w:rPr>
          <w:rFonts w:hint="eastAsia"/>
          <w:lang w:val="en-US" w:eastAsia="zh-TW"/>
        </w:rPr>
        <w:t>30</w:t>
      </w:r>
      <w:r w:rsidR="00683FAE">
        <w:rPr>
          <w:rFonts w:hint="eastAsia"/>
          <w:lang w:val="en-US" w:eastAsia="zh-TW"/>
        </w:rPr>
        <w:t>日</w:t>
      </w:r>
      <w:r w:rsidRPr="00011BD3">
        <w:rPr>
          <w:rFonts w:hint="eastAsia"/>
          <w:lang w:val="en-US" w:eastAsia="zh-TW"/>
        </w:rPr>
        <w:t>。</w:t>
      </w:r>
    </w:p>
    <w:p w:rsidR="00625925" w:rsidRPr="00F24333" w:rsidRDefault="00DB0C74" w:rsidP="0095677D">
      <w:pPr>
        <w:pStyle w:val="af0"/>
      </w:pPr>
      <w:bookmarkStart w:id="29" w:name="_Toc405462621"/>
      <w:r w:rsidRPr="002D13F3">
        <w:rPr>
          <w:rFonts w:hint="eastAsia"/>
        </w:rPr>
        <w:t>圖</w:t>
      </w:r>
      <w:r>
        <w:t>2-6</w:t>
      </w:r>
      <w:r>
        <w:rPr>
          <w:rFonts w:hint="eastAsia"/>
        </w:rPr>
        <w:t xml:space="preserve">　長江經濟帶範圍</w:t>
      </w:r>
      <w:bookmarkEnd w:id="29"/>
    </w:p>
    <w:p w:rsidR="00B10A25" w:rsidRDefault="00DB0C74" w:rsidP="00B10A25">
      <w:pPr>
        <w:pStyle w:val="-"/>
        <w:spacing w:before="108" w:after="108"/>
        <w:ind w:firstLine="520"/>
      </w:pPr>
      <w:r>
        <w:rPr>
          <w:rFonts w:hint="eastAsia"/>
        </w:rPr>
        <w:t>根據李克強的想法，</w:t>
      </w:r>
      <w:r w:rsidR="00F468EE">
        <w:rPr>
          <w:rFonts w:hint="eastAsia"/>
        </w:rPr>
        <w:t>中國大陸國務院</w:t>
      </w:r>
      <w:r>
        <w:rPr>
          <w:rFonts w:hint="eastAsia"/>
        </w:rPr>
        <w:t>於</w:t>
      </w:r>
      <w:r>
        <w:t>2014</w:t>
      </w:r>
      <w:r>
        <w:rPr>
          <w:rFonts w:hint="eastAsia"/>
        </w:rPr>
        <w:t>年</w:t>
      </w:r>
      <w:r>
        <w:t>9</w:t>
      </w:r>
      <w:r>
        <w:rPr>
          <w:rFonts w:hint="eastAsia"/>
        </w:rPr>
        <w:t>月</w:t>
      </w:r>
      <w:r>
        <w:t>25</w:t>
      </w:r>
      <w:r>
        <w:rPr>
          <w:rFonts w:hint="eastAsia"/>
        </w:rPr>
        <w:t>日發布了</w:t>
      </w:r>
      <w:r w:rsidRPr="00B10A25">
        <w:rPr>
          <w:rFonts w:hint="eastAsia"/>
        </w:rPr>
        <w:t>《關於依託黃金水道推動長江經濟帶發展的指導意見》</w:t>
      </w:r>
      <w:r>
        <w:rPr>
          <w:rFonts w:hint="eastAsia"/>
        </w:rPr>
        <w:t>，其附件為《長江經濟帶綜合立體交通走廊規劃（</w:t>
      </w:r>
      <w:r>
        <w:t>2014</w:t>
      </w:r>
      <w:r>
        <w:rPr>
          <w:rFonts w:hint="eastAsia"/>
        </w:rPr>
        <w:t>—</w:t>
      </w:r>
      <w:r>
        <w:t>2020</w:t>
      </w:r>
      <w:r>
        <w:rPr>
          <w:rFonts w:hint="eastAsia"/>
        </w:rPr>
        <w:t>年）》。該意見對於</w:t>
      </w:r>
      <w:r w:rsidRPr="00B10A25">
        <w:rPr>
          <w:rFonts w:hint="eastAsia"/>
        </w:rPr>
        <w:t>長江經濟帶發展</w:t>
      </w:r>
      <w:r>
        <w:rPr>
          <w:rFonts w:hint="eastAsia"/>
        </w:rPr>
        <w:t>認為必須以四項原則來進行：一、改革引領、創新驅動；二、通道支撐、融合發展；三、海陸統籌、雙向開放；四、江湖和諧、生態文明。由於「</w:t>
      </w:r>
      <w:r w:rsidRPr="00B10A25">
        <w:rPr>
          <w:rFonts w:hint="eastAsia"/>
        </w:rPr>
        <w:t>依託黃金水道</w:t>
      </w:r>
      <w:r>
        <w:rPr>
          <w:rFonts w:hint="eastAsia"/>
        </w:rPr>
        <w:t>」的提法，外界可以清楚看到長江之為「道」，而且是帶來「黃金」之「道」的角色，要以沿江綜合運輸大通道為支撐，促進上中下游要素之流動以及產業進一步分工協作。此外，再次改革與開放是目前深化改革的主調，生態保護更是重要內涵。因此，國務院對於</w:t>
      </w:r>
      <w:r w:rsidRPr="00B10A25">
        <w:rPr>
          <w:rFonts w:hint="eastAsia"/>
        </w:rPr>
        <w:t>長江經濟帶</w:t>
      </w:r>
      <w:r>
        <w:rPr>
          <w:rFonts w:hint="eastAsia"/>
        </w:rPr>
        <w:t>的戰略定位如下四點也就不言可喻了：</w:t>
      </w:r>
    </w:p>
    <w:p w:rsidR="00683FAE" w:rsidRDefault="00683FAE" w:rsidP="00B10A25">
      <w:pPr>
        <w:pStyle w:val="-"/>
        <w:spacing w:before="108" w:after="108"/>
        <w:ind w:firstLine="520"/>
      </w:pPr>
    </w:p>
    <w:p w:rsidR="001D0935" w:rsidRDefault="00DB0C74" w:rsidP="001D0935">
      <w:pPr>
        <w:pStyle w:val="-"/>
        <w:numPr>
          <w:ilvl w:val="0"/>
          <w:numId w:val="13"/>
        </w:numPr>
        <w:spacing w:beforeLines="0" w:before="0" w:afterLines="0" w:after="0"/>
        <w:ind w:left="1004" w:firstLineChars="0" w:hanging="482"/>
      </w:pPr>
      <w:r>
        <w:rPr>
          <w:rFonts w:hint="eastAsia"/>
        </w:rPr>
        <w:lastRenderedPageBreak/>
        <w:t>具有全球影響力的內河經濟帶</w:t>
      </w:r>
    </w:p>
    <w:p w:rsidR="001D0935" w:rsidRDefault="00DB0C74" w:rsidP="001D0935">
      <w:pPr>
        <w:pStyle w:val="-"/>
        <w:numPr>
          <w:ilvl w:val="0"/>
          <w:numId w:val="13"/>
        </w:numPr>
        <w:spacing w:beforeLines="0" w:before="0" w:afterLines="0" w:after="0"/>
        <w:ind w:left="1004" w:firstLineChars="0" w:hanging="482"/>
      </w:pPr>
      <w:r>
        <w:rPr>
          <w:rFonts w:hint="eastAsia"/>
        </w:rPr>
        <w:t>東中西互動合作的協調發展帶</w:t>
      </w:r>
    </w:p>
    <w:p w:rsidR="001D0935" w:rsidRDefault="00DB0C74" w:rsidP="001D0935">
      <w:pPr>
        <w:pStyle w:val="-"/>
        <w:numPr>
          <w:ilvl w:val="0"/>
          <w:numId w:val="13"/>
        </w:numPr>
        <w:spacing w:beforeLines="0" w:before="0" w:afterLines="0" w:after="0"/>
        <w:ind w:left="1004" w:firstLineChars="0" w:hanging="482"/>
      </w:pPr>
      <w:r>
        <w:rPr>
          <w:rFonts w:hint="eastAsia"/>
        </w:rPr>
        <w:t>沿海沿江沿邊全面推進的對內對外開放帶</w:t>
      </w:r>
    </w:p>
    <w:p w:rsidR="00B10A25" w:rsidRDefault="00DB0C74" w:rsidP="001D0935">
      <w:pPr>
        <w:pStyle w:val="-"/>
        <w:numPr>
          <w:ilvl w:val="0"/>
          <w:numId w:val="13"/>
        </w:numPr>
        <w:spacing w:beforeLines="0" w:before="0" w:afterLines="0" w:after="0"/>
        <w:ind w:left="1004" w:firstLineChars="0" w:hanging="482"/>
      </w:pPr>
      <w:r>
        <w:rPr>
          <w:rFonts w:hint="eastAsia"/>
        </w:rPr>
        <w:t>生態文明建設的先行示範帶。</w:t>
      </w:r>
    </w:p>
    <w:p w:rsidR="00625925" w:rsidRDefault="00DB0C74" w:rsidP="00625925">
      <w:pPr>
        <w:pStyle w:val="-"/>
        <w:spacing w:before="108" w:after="108"/>
        <w:ind w:firstLine="520"/>
      </w:pPr>
      <w:r>
        <w:rPr>
          <w:rFonts w:hint="eastAsia"/>
        </w:rPr>
        <w:t>從世界經濟發展脈絡來看，從沿海逐漸向內陸河沿岸梯度發展是一個重要的規律，中國大陸規劃一個像長江經濟這樣大範圍的長遠區域發展是有其必要的。把內陸和出海口連接起來，把長江水域東中西部地區相連，對中國大陸區域經濟協調發展相當重要。長江經濟帶上有三大城市群：長三角城市群、長江中游城市群、成渝城市群，是中國大陸重要的發展軸線。但由於行政壁壘和交通瓶頸等因素，長江經濟帶多個城市群和經濟圈緊密度低，整體協調度不夠，透過這條黃金水道能夠有效連貫西部開發、中部崛起、東部</w:t>
      </w:r>
      <w:r w:rsidR="00C4412A">
        <w:rPr>
          <w:rFonts w:hint="eastAsia"/>
        </w:rPr>
        <w:t>永續</w:t>
      </w:r>
      <w:r>
        <w:rPr>
          <w:rFonts w:hint="eastAsia"/>
        </w:rPr>
        <w:t>發展。從推動城鎮化進程，藉由交通運輸網路建設帶動沿線東西中部地區大中小各類城市發展，還可以向西與絲綢之路經濟帶連接，形成串連東西向對外開放的新局面。</w:t>
      </w:r>
    </w:p>
    <w:p w:rsidR="00642EF0" w:rsidRPr="00AF48ED" w:rsidRDefault="00DB0C74" w:rsidP="00F80265">
      <w:pPr>
        <w:pStyle w:val="3"/>
        <w:spacing w:beforeLines="100" w:before="360" w:after="72"/>
        <w:rPr>
          <w:rFonts w:ascii="Times New Roman" w:hAnsi="Times New Roman"/>
        </w:rPr>
      </w:pPr>
      <w:r w:rsidRPr="00656BE7">
        <w:rPr>
          <w:rFonts w:ascii="Times New Roman" w:hAnsi="Times New Roman" w:hint="eastAsia"/>
        </w:rPr>
        <w:t>參、珠江－西江經濟帶</w:t>
      </w:r>
    </w:p>
    <w:p w:rsidR="00656BE7" w:rsidRDefault="00DB0C74" w:rsidP="00656BE7">
      <w:pPr>
        <w:pStyle w:val="-"/>
        <w:spacing w:before="108" w:after="108"/>
        <w:ind w:firstLine="520"/>
      </w:pPr>
      <w:r>
        <w:t>2014</w:t>
      </w:r>
      <w:r>
        <w:rPr>
          <w:rFonts w:hint="eastAsia"/>
        </w:rPr>
        <w:t>年</w:t>
      </w:r>
      <w:r>
        <w:t>7</w:t>
      </w:r>
      <w:r>
        <w:rPr>
          <w:rFonts w:hint="eastAsia"/>
        </w:rPr>
        <w:t>月</w:t>
      </w:r>
      <w:r>
        <w:t>8</w:t>
      </w:r>
      <w:r>
        <w:rPr>
          <w:rFonts w:hint="eastAsia"/>
        </w:rPr>
        <w:t>日，</w:t>
      </w:r>
      <w:r w:rsidR="00F468EE">
        <w:rPr>
          <w:rFonts w:hint="eastAsia"/>
        </w:rPr>
        <w:t>中國大陸國務院</w:t>
      </w:r>
      <w:r>
        <w:rPr>
          <w:rFonts w:hint="eastAsia"/>
        </w:rPr>
        <w:t>正式批覆《珠江—西江經濟帶發展規劃》。其所謂之珠江—西江經濟帶，在地理範圍上涵蓋廣東與廣西兩省級區域而彼此相連，包括廣東省的廣州、佛山、肇慶、雲浮</w:t>
      </w:r>
      <w:r>
        <w:t>4</w:t>
      </w:r>
      <w:r>
        <w:rPr>
          <w:rFonts w:hint="eastAsia"/>
        </w:rPr>
        <w:t>個地級市和廣西壯族自治區的南寧、柳州、梧州、貴港、百色、來賓、崇左等</w:t>
      </w:r>
      <w:r>
        <w:t>7</w:t>
      </w:r>
      <w:r>
        <w:rPr>
          <w:rFonts w:hint="eastAsia"/>
        </w:rPr>
        <w:t>個地級市，規劃之區域面積達</w:t>
      </w:r>
      <w:r>
        <w:t>16.5</w:t>
      </w:r>
      <w:r>
        <w:rPr>
          <w:rFonts w:hint="eastAsia"/>
        </w:rPr>
        <w:t>萬平方公里，</w:t>
      </w:r>
      <w:r>
        <w:t>2013</w:t>
      </w:r>
      <w:r>
        <w:rPr>
          <w:rFonts w:hint="eastAsia"/>
        </w:rPr>
        <w:t>年末常住人口</w:t>
      </w:r>
      <w:r>
        <w:t>5228</w:t>
      </w:r>
      <w:r>
        <w:rPr>
          <w:rFonts w:hint="eastAsia"/>
        </w:rPr>
        <w:t>萬人，可參見圖</w:t>
      </w:r>
      <w:r>
        <w:t>2-7</w:t>
      </w:r>
      <w:r>
        <w:rPr>
          <w:rFonts w:hint="eastAsia"/>
        </w:rPr>
        <w:t>。</w:t>
      </w:r>
    </w:p>
    <w:p w:rsidR="005A7422" w:rsidRDefault="005A7422" w:rsidP="00656BE7">
      <w:pPr>
        <w:pStyle w:val="-"/>
        <w:spacing w:before="108" w:after="108"/>
        <w:ind w:firstLine="520"/>
      </w:pPr>
    </w:p>
    <w:p w:rsidR="004F4CC3" w:rsidRDefault="004F4CC3" w:rsidP="00656BE7">
      <w:pPr>
        <w:pStyle w:val="-"/>
        <w:spacing w:before="108" w:after="108"/>
        <w:ind w:firstLine="520"/>
      </w:pPr>
    </w:p>
    <w:p w:rsidR="004F4CC3" w:rsidRDefault="004F4CC3" w:rsidP="00656BE7">
      <w:pPr>
        <w:pStyle w:val="-"/>
        <w:spacing w:before="108" w:after="108"/>
        <w:ind w:firstLine="520"/>
      </w:pPr>
    </w:p>
    <w:p w:rsidR="00656BE7" w:rsidRDefault="00796180" w:rsidP="00656BE7">
      <w:pPr>
        <w:pStyle w:val="-"/>
        <w:spacing w:before="108" w:after="108"/>
        <w:ind w:firstLine="520"/>
      </w:pPr>
      <w:r>
        <w:rPr>
          <w:noProof/>
        </w:rPr>
        <w:lastRenderedPageBreak/>
        <w:drawing>
          <wp:anchor distT="0" distB="0" distL="114300" distR="114300" simplePos="0" relativeHeight="3" behindDoc="0" locked="0" layoutInCell="1" allowOverlap="1">
            <wp:simplePos x="0" y="0"/>
            <wp:positionH relativeFrom="column">
              <wp:posOffset>-45720</wp:posOffset>
            </wp:positionH>
            <wp:positionV relativeFrom="paragraph">
              <wp:posOffset>94615</wp:posOffset>
            </wp:positionV>
            <wp:extent cx="5718810" cy="3226435"/>
            <wp:effectExtent l="0" t="0" r="0" b="0"/>
            <wp:wrapNone/>
            <wp:docPr id="323" name="圖片 18" descr="http://www.pdtimes.com.cn/resfile/2014-07-22/B04/p3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http://www.pdtimes.com.cn/resfile/2014-07-22/B04/p38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3226435"/>
                    </a:xfrm>
                    <a:prstGeom prst="rect">
                      <a:avLst/>
                    </a:prstGeom>
                    <a:noFill/>
                  </pic:spPr>
                </pic:pic>
              </a:graphicData>
            </a:graphic>
            <wp14:sizeRelH relativeFrom="page">
              <wp14:pctWidth>0</wp14:pctWidth>
            </wp14:sizeRelH>
            <wp14:sizeRelV relativeFrom="page">
              <wp14:pctHeight>0</wp14:pctHeight>
            </wp14:sizeRelV>
          </wp:anchor>
        </w:drawing>
      </w: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Chars="0" w:firstLine="0"/>
      </w:pPr>
    </w:p>
    <w:p w:rsidR="00656BE7" w:rsidRPr="00011BD3" w:rsidRDefault="00DB0C74" w:rsidP="00656BE7">
      <w:pPr>
        <w:pStyle w:val="a9"/>
        <w:ind w:firstLineChars="354" w:firstLine="708"/>
      </w:pPr>
      <w:r w:rsidRPr="00011BD3">
        <w:rPr>
          <w:rFonts w:hint="eastAsia"/>
          <w:lang w:val="en-US" w:eastAsia="zh-TW"/>
        </w:rPr>
        <w:t>資料來源：</w:t>
      </w:r>
      <w:r>
        <w:rPr>
          <w:rFonts w:hint="eastAsia"/>
          <w:lang w:val="en-US" w:eastAsia="zh-TW"/>
        </w:rPr>
        <w:t>浦東時報</w:t>
      </w:r>
      <w:r w:rsidRPr="00011BD3">
        <w:rPr>
          <w:rFonts w:hint="eastAsia"/>
          <w:lang w:val="en-US" w:eastAsia="zh-TW"/>
        </w:rPr>
        <w:t>，</w:t>
      </w:r>
      <w:r w:rsidRPr="00011BD3">
        <w:rPr>
          <w:lang w:val="en-US" w:eastAsia="zh-TW"/>
        </w:rPr>
        <w:t>201</w:t>
      </w:r>
      <w:r>
        <w:rPr>
          <w:lang w:val="en-US" w:eastAsia="zh-TW"/>
        </w:rPr>
        <w:t>4</w:t>
      </w:r>
      <w:r w:rsidRPr="00011BD3">
        <w:rPr>
          <w:rFonts w:hint="eastAsia"/>
          <w:lang w:val="en-US" w:eastAsia="zh-TW"/>
        </w:rPr>
        <w:t>年</w:t>
      </w:r>
      <w:r>
        <w:rPr>
          <w:lang w:val="en-US" w:eastAsia="zh-TW"/>
        </w:rPr>
        <w:t>7</w:t>
      </w:r>
      <w:r w:rsidRPr="00011BD3">
        <w:rPr>
          <w:rFonts w:hint="eastAsia"/>
          <w:lang w:val="en-US" w:eastAsia="zh-TW"/>
        </w:rPr>
        <w:t>月</w:t>
      </w:r>
      <w:r>
        <w:rPr>
          <w:lang w:val="en-US" w:eastAsia="zh-TW"/>
        </w:rPr>
        <w:t>22</w:t>
      </w:r>
      <w:r w:rsidRPr="00011BD3">
        <w:rPr>
          <w:rFonts w:hint="eastAsia"/>
          <w:lang w:val="en-US" w:eastAsia="zh-TW"/>
        </w:rPr>
        <w:t>日。</w:t>
      </w:r>
    </w:p>
    <w:p w:rsidR="00656BE7" w:rsidRPr="00F24333" w:rsidRDefault="00DB0C74" w:rsidP="00656BE7">
      <w:pPr>
        <w:pStyle w:val="af0"/>
      </w:pPr>
      <w:bookmarkStart w:id="30" w:name="_Toc405462622"/>
      <w:r w:rsidRPr="002D13F3">
        <w:rPr>
          <w:rFonts w:hint="eastAsia"/>
        </w:rPr>
        <w:t>圖</w:t>
      </w:r>
      <w:r>
        <w:t>2-7</w:t>
      </w:r>
      <w:r>
        <w:rPr>
          <w:rFonts w:hint="eastAsia"/>
        </w:rPr>
        <w:t xml:space="preserve">　珠江—西江經濟帶範圍示意圖</w:t>
      </w:r>
      <w:bookmarkEnd w:id="30"/>
    </w:p>
    <w:p w:rsidR="00656BE7" w:rsidRDefault="00DB0C74" w:rsidP="00656BE7">
      <w:pPr>
        <w:pStyle w:val="-"/>
        <w:spacing w:before="108" w:after="108"/>
        <w:ind w:firstLine="520"/>
      </w:pPr>
      <w:r>
        <w:rPr>
          <w:rFonts w:hint="eastAsia"/>
        </w:rPr>
        <w:t>該份國務院批覆文件指出，「加快珠江—西江經濟帶開放發展，事關國家改革開放和區域協調發展大局。」顯示出中共對於該項規劃之期待不同於胡溫時期於全國遍地開花的國家級區域規劃，其對於珠江—西江經濟帶之未來發展，希望是「以推進協同發展為主線，以保護生態環境為前提，以全面深化改革開放為動力，堅持基礎設施先行，著力打造綜合交通大通道；堅持綠色發展，著力建設珠江—西江生態廊道；堅持優化升級，著力構建現代產業體系；堅持統籌協調，著力推進新型城鎮化發展；堅持民生優先，著力提高公共服務水平；堅持開</w:t>
      </w:r>
      <w:r w:rsidR="004D182F">
        <w:rPr>
          <w:rFonts w:hint="eastAsia"/>
        </w:rPr>
        <w:t>放引領，著力構築開放合作新高地，努力把珠江—西江經濟帶打造成為中</w:t>
      </w:r>
      <w:r>
        <w:rPr>
          <w:rFonts w:hint="eastAsia"/>
        </w:rPr>
        <w:t>國西南、中南地區開放發展新的</w:t>
      </w:r>
      <w:r w:rsidR="00DE1D40">
        <w:rPr>
          <w:rFonts w:hint="eastAsia"/>
        </w:rPr>
        <w:t>成長</w:t>
      </w:r>
      <w:r>
        <w:rPr>
          <w:rFonts w:hint="eastAsia"/>
        </w:rPr>
        <w:t>極，為區域協調發展和流域生態文明建設提供示範。」以上點出了中央對於珠江—西江經濟帶之定位，更具體的條列式戰略定位可見其規劃文件之內容，列於下：</w:t>
      </w:r>
    </w:p>
    <w:p w:rsidR="005A7422" w:rsidRDefault="005A7422" w:rsidP="00656BE7">
      <w:pPr>
        <w:pStyle w:val="-"/>
        <w:spacing w:before="108" w:after="108"/>
        <w:ind w:firstLine="520"/>
      </w:pPr>
    </w:p>
    <w:p w:rsidR="00656BE7" w:rsidRPr="006075B7" w:rsidRDefault="00DB0C74" w:rsidP="00656BE7">
      <w:pPr>
        <w:pStyle w:val="-"/>
        <w:numPr>
          <w:ilvl w:val="0"/>
          <w:numId w:val="13"/>
        </w:numPr>
        <w:spacing w:beforeLines="0" w:before="0" w:afterLines="0" w:after="0"/>
        <w:ind w:left="1004" w:firstLineChars="0" w:hanging="482"/>
      </w:pPr>
      <w:r w:rsidRPr="006075B7">
        <w:rPr>
          <w:rFonts w:hint="eastAsia"/>
        </w:rPr>
        <w:lastRenderedPageBreak/>
        <w:t>西南中南開放發展戰略支撐帶</w:t>
      </w:r>
    </w:p>
    <w:p w:rsidR="00656BE7" w:rsidRPr="006075B7" w:rsidRDefault="00DB0C74" w:rsidP="00656BE7">
      <w:pPr>
        <w:pStyle w:val="-"/>
        <w:numPr>
          <w:ilvl w:val="0"/>
          <w:numId w:val="13"/>
        </w:numPr>
        <w:spacing w:beforeLines="0" w:before="0" w:afterLines="0" w:after="0"/>
        <w:ind w:left="1004" w:firstLineChars="0" w:hanging="482"/>
      </w:pPr>
      <w:r w:rsidRPr="006075B7">
        <w:rPr>
          <w:rFonts w:hint="eastAsia"/>
        </w:rPr>
        <w:t>東西部合作發展示範區</w:t>
      </w:r>
    </w:p>
    <w:p w:rsidR="00656BE7" w:rsidRPr="006075B7" w:rsidRDefault="00DB0C74" w:rsidP="00656BE7">
      <w:pPr>
        <w:pStyle w:val="-"/>
        <w:numPr>
          <w:ilvl w:val="0"/>
          <w:numId w:val="13"/>
        </w:numPr>
        <w:spacing w:beforeLines="0" w:before="0" w:afterLines="0" w:after="0"/>
        <w:ind w:left="1004" w:firstLineChars="0" w:hanging="482"/>
      </w:pPr>
      <w:r w:rsidRPr="006075B7">
        <w:rPr>
          <w:rFonts w:hint="eastAsia"/>
        </w:rPr>
        <w:t>流域生態文明建設試驗區</w:t>
      </w:r>
    </w:p>
    <w:p w:rsidR="00656BE7" w:rsidRPr="006075B7" w:rsidRDefault="00DB0C74" w:rsidP="00656BE7">
      <w:pPr>
        <w:pStyle w:val="-"/>
        <w:numPr>
          <w:ilvl w:val="0"/>
          <w:numId w:val="13"/>
        </w:numPr>
        <w:spacing w:beforeLines="0" w:before="0" w:afterLines="0" w:after="0"/>
        <w:ind w:left="1004" w:firstLineChars="0" w:hanging="482"/>
      </w:pPr>
      <w:r w:rsidRPr="006075B7">
        <w:rPr>
          <w:rFonts w:hint="eastAsia"/>
        </w:rPr>
        <w:t>海上絲綢之路橋頭堡</w:t>
      </w:r>
    </w:p>
    <w:p w:rsidR="00656BE7" w:rsidRDefault="00DB0C74" w:rsidP="00656BE7">
      <w:pPr>
        <w:pStyle w:val="-"/>
        <w:spacing w:before="108" w:after="108"/>
        <w:ind w:firstLine="520"/>
      </w:pPr>
      <w:r w:rsidRPr="00095DBA">
        <w:rPr>
          <w:rFonts w:hint="eastAsia"/>
        </w:rPr>
        <w:t>珠江</w:t>
      </w:r>
      <w:r>
        <w:rPr>
          <w:rFonts w:hint="eastAsia"/>
        </w:rPr>
        <w:t>水系為中國大陸</w:t>
      </w:r>
      <w:r w:rsidRPr="00095DBA">
        <w:rPr>
          <w:rFonts w:hint="eastAsia"/>
        </w:rPr>
        <w:t>三大水系之一，珠江—西江流域</w:t>
      </w:r>
      <w:r>
        <w:rPr>
          <w:rFonts w:hint="eastAsia"/>
        </w:rPr>
        <w:t>可說是</w:t>
      </w:r>
      <w:r w:rsidRPr="00095DBA">
        <w:rPr>
          <w:rFonts w:hint="eastAsia"/>
        </w:rPr>
        <w:t>僅次於長江的第二大流域，</w:t>
      </w:r>
      <w:r>
        <w:rPr>
          <w:rFonts w:hint="eastAsia"/>
        </w:rPr>
        <w:t>其上中下游與分支流經</w:t>
      </w:r>
      <w:r w:rsidRPr="00095DBA">
        <w:rPr>
          <w:rFonts w:hint="eastAsia"/>
        </w:rPr>
        <w:t>粵、桂、滇、黔</w:t>
      </w:r>
      <w:r>
        <w:rPr>
          <w:rFonts w:hint="eastAsia"/>
        </w:rPr>
        <w:t>等</w:t>
      </w:r>
      <w:r w:rsidRPr="00095DBA">
        <w:rPr>
          <w:rFonts w:hint="eastAsia"/>
        </w:rPr>
        <w:t>四省，覆蓋人口</w:t>
      </w:r>
      <w:r>
        <w:rPr>
          <w:rFonts w:hint="eastAsia"/>
        </w:rPr>
        <w:t>達到</w:t>
      </w:r>
      <w:r w:rsidRPr="00095DBA">
        <w:t>1.2</w:t>
      </w:r>
      <w:r w:rsidRPr="00095DBA">
        <w:rPr>
          <w:rFonts w:hint="eastAsia"/>
        </w:rPr>
        <w:t>億</w:t>
      </w:r>
      <w:r>
        <w:rPr>
          <w:rFonts w:hint="eastAsia"/>
        </w:rPr>
        <w:t>。此一珠江—西江經濟帶連結了珠江三角洲的廣州、佛山以及面向東南亞的邊貿重地崇左；因此，從水文上說是流域上下游，從貿易與發展的經濟觀點來看，是連通面向國際與西方的珠三角以及東協經濟體的經濟通道。水文觀點還可以進一步擴大到生態與水資源的保護保育，經濟觀點可以進一步談及經濟先進區域與發展中區域或是經濟腹地的概念。此外，從行政區域觀點來看，此處又涉及兩廣合作、東部沿海與西部大開發的合作示範，是絕佳的打破行政壁壘的試驗區域。最後，從當今中共領導的新政觀點來看，新型城鎮化、產業結構調整、海上絲綢之路等中央層級要大力推動的事務，珠江—西江經濟帶都可以說是重要組成或重要場域。以上種種就是形成前述幾項戰略定位的大背景分析。</w:t>
      </w:r>
    </w:p>
    <w:p w:rsidR="00656BE7" w:rsidRDefault="00DB0C74" w:rsidP="00656BE7">
      <w:pPr>
        <w:pStyle w:val="-"/>
        <w:spacing w:before="108" w:after="108"/>
        <w:ind w:firstLine="520"/>
      </w:pPr>
      <w:r>
        <w:rPr>
          <w:rFonts w:hint="eastAsia"/>
        </w:rPr>
        <w:t>如果我們將焦點略下降至地方的視野，</w:t>
      </w:r>
      <w:r w:rsidRPr="00095DBA">
        <w:rPr>
          <w:rFonts w:hint="eastAsia"/>
        </w:rPr>
        <w:t>珠江—西江</w:t>
      </w:r>
      <w:r>
        <w:rPr>
          <w:rFonts w:hint="eastAsia"/>
        </w:rPr>
        <w:t>經濟帶則是兩廣互補合作的重要新內涵，也可以視為未來泛珠三角</w:t>
      </w:r>
      <w:r>
        <w:t>9+2</w:t>
      </w:r>
      <w:r>
        <w:rPr>
          <w:rFonts w:hint="eastAsia"/>
        </w:rPr>
        <w:t>合作（</w:t>
      </w:r>
      <w:r>
        <w:t>9</w:t>
      </w:r>
      <w:r>
        <w:rPr>
          <w:rFonts w:hint="eastAsia"/>
        </w:rPr>
        <w:t>省加港澳特別行政區）在</w:t>
      </w:r>
      <w:r>
        <w:t>10</w:t>
      </w:r>
      <w:r>
        <w:rPr>
          <w:rFonts w:hint="eastAsia"/>
        </w:rPr>
        <w:t>年後謀求進階發展的一個新依據。</w:t>
      </w:r>
      <w:r>
        <w:t>2012</w:t>
      </w:r>
      <w:r>
        <w:rPr>
          <w:rFonts w:hint="eastAsia"/>
        </w:rPr>
        <w:t>年</w:t>
      </w:r>
      <w:r w:rsidRPr="0026328A">
        <w:rPr>
          <w:rFonts w:hint="eastAsia"/>
        </w:rPr>
        <w:t>第八屆泛珠大會上，粵桂</w:t>
      </w:r>
      <w:r>
        <w:rPr>
          <w:rFonts w:hint="eastAsia"/>
        </w:rPr>
        <w:t>已</w:t>
      </w:r>
      <w:r w:rsidRPr="0026328A">
        <w:rPr>
          <w:rFonts w:hint="eastAsia"/>
        </w:rPr>
        <w:t>簽署《兩廣經濟一體化發展工作備忘錄》，並同意全面落實《十二五粵桂戰略合作框架協議》，在發揮各自優勢的情況下，加深戰略和區域合作。</w:t>
      </w:r>
      <w:r>
        <w:rPr>
          <w:rFonts w:hint="eastAsia"/>
        </w:rPr>
        <w:t>現在加入國家級的珠江—西江經濟帶後，</w:t>
      </w:r>
      <w:r w:rsidRPr="0026328A">
        <w:rPr>
          <w:rFonts w:hint="eastAsia"/>
        </w:rPr>
        <w:t>兩廣傳統的紐帶合作關係將</w:t>
      </w:r>
      <w:r>
        <w:rPr>
          <w:rFonts w:hint="eastAsia"/>
        </w:rPr>
        <w:t>進一步</w:t>
      </w:r>
      <w:r w:rsidRPr="0026328A">
        <w:rPr>
          <w:rFonts w:hint="eastAsia"/>
        </w:rPr>
        <w:t>在經貿合作、生態治理</w:t>
      </w:r>
      <w:r>
        <w:rPr>
          <w:rFonts w:hint="eastAsia"/>
        </w:rPr>
        <w:t>與協作治理</w:t>
      </w:r>
      <w:r w:rsidRPr="0026328A">
        <w:rPr>
          <w:rFonts w:hint="eastAsia"/>
        </w:rPr>
        <w:t>等方面大大增強。</w:t>
      </w:r>
      <w:r>
        <w:rPr>
          <w:rFonts w:hint="eastAsia"/>
        </w:rPr>
        <w:t>《珠江—西江經濟帶發展規劃》中特別提到要在兩廣交界的肇慶與梧州毗鄰區域劃出一定範圍設立「</w:t>
      </w:r>
      <w:r w:rsidRPr="00F944D0">
        <w:rPr>
          <w:rFonts w:hint="eastAsia"/>
        </w:rPr>
        <w:t>粵桂合作特別試驗區</w:t>
      </w:r>
      <w:r>
        <w:rPr>
          <w:rFonts w:hint="eastAsia"/>
        </w:rPr>
        <w:t>」，要「打造廣東廣西一體化發展、東西部合作發展、流域可持續發展的先行示範平臺」，希望能突破</w:t>
      </w:r>
      <w:r>
        <w:rPr>
          <w:rFonts w:hint="eastAsia"/>
        </w:rPr>
        <w:lastRenderedPageBreak/>
        <w:t>行政分割，統一規劃、統一</w:t>
      </w:r>
      <w:r w:rsidR="00E41F3A">
        <w:rPr>
          <w:rFonts w:hint="eastAsia"/>
        </w:rPr>
        <w:t>布局</w:t>
      </w:r>
      <w:r>
        <w:rPr>
          <w:rFonts w:hint="eastAsia"/>
        </w:rPr>
        <w:t>，探索建立利益共用、責任共擔的合作新機制。</w:t>
      </w:r>
    </w:p>
    <w:p w:rsidR="00656BE7" w:rsidRPr="00FB5196" w:rsidRDefault="00796180" w:rsidP="00656BE7">
      <w:pPr>
        <w:pStyle w:val="-"/>
        <w:spacing w:before="108" w:after="108"/>
        <w:ind w:firstLine="520"/>
      </w:pPr>
      <w:r>
        <w:rPr>
          <w:noProof/>
        </w:rPr>
        <w:drawing>
          <wp:anchor distT="0" distB="0" distL="114300" distR="114300" simplePos="0" relativeHeight="4" behindDoc="0" locked="0" layoutInCell="1" allowOverlap="1">
            <wp:simplePos x="0" y="0"/>
            <wp:positionH relativeFrom="column">
              <wp:posOffset>244475</wp:posOffset>
            </wp:positionH>
            <wp:positionV relativeFrom="paragraph">
              <wp:posOffset>187960</wp:posOffset>
            </wp:positionV>
            <wp:extent cx="3816985" cy="2470150"/>
            <wp:effectExtent l="0" t="0" r="0" b="6350"/>
            <wp:wrapNone/>
            <wp:docPr id="322" name="圖片 15" descr="http://image.wenweipo.com/2013/12/21/a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http://image.wenweipo.com/2013/12/21/a05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985" cy="2470150"/>
                    </a:xfrm>
                    <a:prstGeom prst="rect">
                      <a:avLst/>
                    </a:prstGeom>
                    <a:noFill/>
                  </pic:spPr>
                </pic:pic>
              </a:graphicData>
            </a:graphic>
            <wp14:sizeRelH relativeFrom="page">
              <wp14:pctWidth>0</wp14:pctWidth>
            </wp14:sizeRelH>
            <wp14:sizeRelV relativeFrom="page">
              <wp14:pctHeight>0</wp14:pctHeight>
            </wp14:sizeRelV>
          </wp:anchor>
        </w:drawing>
      </w: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520"/>
      </w:pPr>
    </w:p>
    <w:p w:rsidR="00656BE7" w:rsidRDefault="00656BE7" w:rsidP="00656BE7">
      <w:pPr>
        <w:pStyle w:val="-"/>
        <w:spacing w:before="108" w:after="108"/>
        <w:ind w:firstLineChars="0" w:firstLine="0"/>
      </w:pPr>
    </w:p>
    <w:p w:rsidR="00656BE7" w:rsidRPr="00011BD3" w:rsidRDefault="00DB0C74" w:rsidP="00656BE7">
      <w:pPr>
        <w:pStyle w:val="a9"/>
        <w:ind w:firstLineChars="354" w:firstLine="708"/>
      </w:pPr>
      <w:r w:rsidRPr="00011BD3">
        <w:rPr>
          <w:rFonts w:hint="eastAsia"/>
          <w:lang w:val="en-US" w:eastAsia="zh-TW"/>
        </w:rPr>
        <w:t>資料來源：</w:t>
      </w:r>
      <w:r>
        <w:rPr>
          <w:rFonts w:hint="eastAsia"/>
          <w:lang w:val="en-US" w:eastAsia="zh-TW"/>
        </w:rPr>
        <w:t>文匯報</w:t>
      </w:r>
      <w:r w:rsidRPr="00011BD3">
        <w:rPr>
          <w:rFonts w:hint="eastAsia"/>
          <w:lang w:val="en-US" w:eastAsia="zh-TW"/>
        </w:rPr>
        <w:t>，</w:t>
      </w:r>
      <w:r w:rsidRPr="00011BD3">
        <w:rPr>
          <w:lang w:val="en-US" w:eastAsia="zh-TW"/>
        </w:rPr>
        <w:t>201</w:t>
      </w:r>
      <w:r>
        <w:rPr>
          <w:lang w:val="en-US" w:eastAsia="zh-TW"/>
        </w:rPr>
        <w:t>3</w:t>
      </w:r>
      <w:r w:rsidRPr="00011BD3">
        <w:rPr>
          <w:rFonts w:hint="eastAsia"/>
          <w:lang w:val="en-US" w:eastAsia="zh-TW"/>
        </w:rPr>
        <w:t>年</w:t>
      </w:r>
      <w:r>
        <w:rPr>
          <w:lang w:val="en-US" w:eastAsia="zh-TW"/>
        </w:rPr>
        <w:t>12</w:t>
      </w:r>
      <w:r w:rsidRPr="00011BD3">
        <w:rPr>
          <w:rFonts w:hint="eastAsia"/>
          <w:lang w:val="en-US" w:eastAsia="zh-TW"/>
        </w:rPr>
        <w:t>月</w:t>
      </w:r>
      <w:r>
        <w:rPr>
          <w:lang w:val="en-US" w:eastAsia="zh-TW"/>
        </w:rPr>
        <w:t>31</w:t>
      </w:r>
      <w:r w:rsidRPr="00011BD3">
        <w:rPr>
          <w:rFonts w:hint="eastAsia"/>
          <w:lang w:val="en-US" w:eastAsia="zh-TW"/>
        </w:rPr>
        <w:t>日。</w:t>
      </w:r>
    </w:p>
    <w:p w:rsidR="00656BE7" w:rsidRPr="00F24333" w:rsidRDefault="00DB0C74" w:rsidP="00656BE7">
      <w:pPr>
        <w:pStyle w:val="af0"/>
      </w:pPr>
      <w:bookmarkStart w:id="31" w:name="_Toc405462623"/>
      <w:r w:rsidRPr="002D13F3">
        <w:rPr>
          <w:rFonts w:hint="eastAsia"/>
        </w:rPr>
        <w:t>圖</w:t>
      </w:r>
      <w:r>
        <w:t>2-8</w:t>
      </w:r>
      <w:r>
        <w:rPr>
          <w:rFonts w:hint="eastAsia"/>
        </w:rPr>
        <w:t xml:space="preserve">　</w:t>
      </w:r>
      <w:r w:rsidRPr="00F944D0">
        <w:rPr>
          <w:rFonts w:hint="eastAsia"/>
        </w:rPr>
        <w:t>粵桂合作特別試驗區</w:t>
      </w:r>
      <w:r>
        <w:rPr>
          <w:rFonts w:hint="eastAsia"/>
        </w:rPr>
        <w:t>示意圖</w:t>
      </w:r>
      <w:bookmarkEnd w:id="31"/>
    </w:p>
    <w:p w:rsidR="00642EF0" w:rsidRPr="00D45D58" w:rsidRDefault="00DB0C74" w:rsidP="00656BE7">
      <w:pPr>
        <w:pStyle w:val="-"/>
        <w:spacing w:before="108" w:after="108"/>
        <w:ind w:firstLine="520"/>
      </w:pPr>
      <w:r>
        <w:rPr>
          <w:rFonts w:hint="eastAsia"/>
        </w:rPr>
        <w:t>若此經濟帶能如規劃所發展，則</w:t>
      </w:r>
      <w:r w:rsidRPr="0026328A">
        <w:rPr>
          <w:rFonts w:hint="eastAsia"/>
        </w:rPr>
        <w:t>西江上游</w:t>
      </w:r>
      <w:r>
        <w:rPr>
          <w:rFonts w:hint="eastAsia"/>
        </w:rPr>
        <w:t>更</w:t>
      </w:r>
      <w:r w:rsidRPr="0026328A">
        <w:rPr>
          <w:rFonts w:hint="eastAsia"/>
        </w:rPr>
        <w:t>連</w:t>
      </w:r>
      <w:r>
        <w:rPr>
          <w:rFonts w:hint="eastAsia"/>
        </w:rPr>
        <w:t>接</w:t>
      </w:r>
      <w:r w:rsidRPr="0026328A">
        <w:rPr>
          <w:rFonts w:hint="eastAsia"/>
        </w:rPr>
        <w:t>腹地廣闊、資源豐富的雲貴高原，</w:t>
      </w:r>
      <w:r>
        <w:rPr>
          <w:rFonts w:hint="eastAsia"/>
        </w:rPr>
        <w:t>向</w:t>
      </w:r>
      <w:r w:rsidRPr="0026328A">
        <w:rPr>
          <w:rFonts w:hint="eastAsia"/>
        </w:rPr>
        <w:t>下游聯</w:t>
      </w:r>
      <w:r>
        <w:rPr>
          <w:rFonts w:hint="eastAsia"/>
        </w:rPr>
        <w:t>絡了</w:t>
      </w:r>
      <w:r w:rsidRPr="0026328A">
        <w:rPr>
          <w:rFonts w:hint="eastAsia"/>
        </w:rPr>
        <w:t>珠江水網</w:t>
      </w:r>
      <w:r>
        <w:rPr>
          <w:rFonts w:hint="eastAsia"/>
        </w:rPr>
        <w:t>至</w:t>
      </w:r>
      <w:r w:rsidRPr="0026328A">
        <w:rPr>
          <w:rFonts w:hint="eastAsia"/>
        </w:rPr>
        <w:t>港澳，</w:t>
      </w:r>
      <w:r>
        <w:rPr>
          <w:rFonts w:hint="eastAsia"/>
        </w:rPr>
        <w:t>除了由海路</w:t>
      </w:r>
      <w:r w:rsidRPr="0026328A">
        <w:rPr>
          <w:rFonts w:hint="eastAsia"/>
        </w:rPr>
        <w:t>經南中國海直通國際市場</w:t>
      </w:r>
      <w:r>
        <w:rPr>
          <w:rFonts w:hint="eastAsia"/>
        </w:rPr>
        <w:t>，亦可由崇左邊境連結中南半島國家，讓經濟帶所</w:t>
      </w:r>
      <w:r w:rsidRPr="0026328A">
        <w:rPr>
          <w:rFonts w:hint="eastAsia"/>
        </w:rPr>
        <w:t>帶來的改革</w:t>
      </w:r>
      <w:r>
        <w:rPr>
          <w:rFonts w:hint="eastAsia"/>
        </w:rPr>
        <w:t>與發展</w:t>
      </w:r>
      <w:r w:rsidRPr="0026328A">
        <w:rPr>
          <w:rFonts w:hint="eastAsia"/>
        </w:rPr>
        <w:t>機</w:t>
      </w:r>
      <w:r>
        <w:rPr>
          <w:rFonts w:hint="eastAsia"/>
        </w:rPr>
        <w:t>會</w:t>
      </w:r>
      <w:r w:rsidRPr="0026328A">
        <w:rPr>
          <w:rFonts w:hint="eastAsia"/>
        </w:rPr>
        <w:t>惠及泛珠</w:t>
      </w:r>
      <w:r>
        <w:rPr>
          <w:rFonts w:hint="eastAsia"/>
        </w:rPr>
        <w:t>各</w:t>
      </w:r>
      <w:r w:rsidRPr="0026328A">
        <w:rPr>
          <w:rFonts w:hint="eastAsia"/>
        </w:rPr>
        <w:t>省。</w:t>
      </w:r>
      <w:r>
        <w:rPr>
          <w:rFonts w:hint="eastAsia"/>
        </w:rPr>
        <w:t>因此，</w:t>
      </w:r>
      <w:r w:rsidR="00EE24EE">
        <w:rPr>
          <w:rFonts w:hint="eastAsia"/>
        </w:rPr>
        <w:t>中國大陸國家發改委</w:t>
      </w:r>
      <w:r w:rsidRPr="0026328A">
        <w:rPr>
          <w:rFonts w:hint="eastAsia"/>
        </w:rPr>
        <w:t>副秘書長</w:t>
      </w:r>
      <w:r w:rsidR="00EE24EE">
        <w:rPr>
          <w:rFonts w:hint="eastAsia"/>
        </w:rPr>
        <w:t>范</w:t>
      </w:r>
      <w:r w:rsidRPr="0026328A">
        <w:rPr>
          <w:rFonts w:hint="eastAsia"/>
        </w:rPr>
        <w:t>恒山在</w:t>
      </w:r>
      <w:r>
        <w:t>2014</w:t>
      </w:r>
      <w:r w:rsidRPr="0026328A">
        <w:rPr>
          <w:rFonts w:hint="eastAsia"/>
        </w:rPr>
        <w:t>年</w:t>
      </w:r>
      <w:r w:rsidRPr="0026328A">
        <w:t>6</w:t>
      </w:r>
      <w:r w:rsidRPr="0026328A">
        <w:rPr>
          <w:rFonts w:hint="eastAsia"/>
        </w:rPr>
        <w:t>月</w:t>
      </w:r>
      <w:r>
        <w:rPr>
          <w:rFonts w:hint="eastAsia"/>
        </w:rPr>
        <w:t>曾說過，</w:t>
      </w:r>
      <w:r w:rsidRPr="0026328A">
        <w:rPr>
          <w:rFonts w:hint="eastAsia"/>
        </w:rPr>
        <w:t>珠江—西江經濟帶一旦上升為</w:t>
      </w:r>
      <w:r w:rsidR="005F5D55">
        <w:rPr>
          <w:rFonts w:hint="eastAsia"/>
        </w:rPr>
        <w:t>中國大陸</w:t>
      </w:r>
      <w:r w:rsidRPr="0026328A">
        <w:rPr>
          <w:rFonts w:hint="eastAsia"/>
        </w:rPr>
        <w:t>國家戰略，</w:t>
      </w:r>
      <w:r>
        <w:rPr>
          <w:rFonts w:hint="eastAsia"/>
        </w:rPr>
        <w:t>代表</w:t>
      </w:r>
      <w:r w:rsidRPr="0026328A">
        <w:rPr>
          <w:rFonts w:hint="eastAsia"/>
        </w:rPr>
        <w:t>在南方地區將形成由長江、珠江兩大國家級戰略全覆蓋的新的區域發展格局。京津冀、長江經濟帶、珠江經濟帶將共同組成北、中、南地區的三大龍頭。</w:t>
      </w:r>
      <w:r>
        <w:rPr>
          <w:rFonts w:hint="eastAsia"/>
        </w:rPr>
        <w:t>這也是為何會有人認為</w:t>
      </w:r>
      <w:r w:rsidRPr="00095DBA">
        <w:rPr>
          <w:rFonts w:hint="eastAsia"/>
        </w:rPr>
        <w:t>未來中國</w:t>
      </w:r>
      <w:r>
        <w:rPr>
          <w:rFonts w:hint="eastAsia"/>
        </w:rPr>
        <w:t>大陸</w:t>
      </w:r>
      <w:r w:rsidRPr="00095DBA">
        <w:rPr>
          <w:rFonts w:hint="eastAsia"/>
        </w:rPr>
        <w:t>經濟地理版圖和城鎮化格局將由</w:t>
      </w:r>
      <w:r>
        <w:rPr>
          <w:rFonts w:hint="eastAsia"/>
        </w:rPr>
        <w:t>前述之「</w:t>
      </w:r>
      <w:r w:rsidRPr="00095DBA">
        <w:rPr>
          <w:rFonts w:hint="eastAsia"/>
        </w:rPr>
        <w:t>兩橫三縱</w:t>
      </w:r>
      <w:r>
        <w:rPr>
          <w:rFonts w:hint="eastAsia"/>
        </w:rPr>
        <w:t>」增加</w:t>
      </w:r>
      <w:r w:rsidRPr="00095DBA">
        <w:rPr>
          <w:rFonts w:hint="eastAsia"/>
        </w:rPr>
        <w:t>為</w:t>
      </w:r>
      <w:r>
        <w:rPr>
          <w:rFonts w:hint="eastAsia"/>
        </w:rPr>
        <w:t>「</w:t>
      </w:r>
      <w:r w:rsidRPr="00095DBA">
        <w:rPr>
          <w:rFonts w:hint="eastAsia"/>
        </w:rPr>
        <w:t>三橫三縱</w:t>
      </w:r>
      <w:r>
        <w:rPr>
          <w:rFonts w:hint="eastAsia"/>
        </w:rPr>
        <w:t>」：</w:t>
      </w:r>
      <w:r w:rsidRPr="00095DBA">
        <w:rPr>
          <w:rFonts w:hint="eastAsia"/>
        </w:rPr>
        <w:t>三橫</w:t>
      </w:r>
      <w:r>
        <w:rPr>
          <w:rFonts w:hint="eastAsia"/>
        </w:rPr>
        <w:t>部分就是</w:t>
      </w:r>
      <w:r w:rsidRPr="00095DBA">
        <w:rPr>
          <w:rFonts w:hint="eastAsia"/>
        </w:rPr>
        <w:t>以三大經濟區—黃河三角洲、長江三角洲、珠江三角洲為起點，向西沿三大經濟帶—絲綢之路經濟帶、長江經濟帶、珠江</w:t>
      </w:r>
      <w:r w:rsidRPr="00095DBA">
        <w:t>-</w:t>
      </w:r>
      <w:r w:rsidRPr="00095DBA">
        <w:rPr>
          <w:rFonts w:hint="eastAsia"/>
        </w:rPr>
        <w:t>西江經濟帶向內陸地區縱深推進，向</w:t>
      </w:r>
      <w:r>
        <w:rPr>
          <w:rFonts w:hint="eastAsia"/>
        </w:rPr>
        <w:t>西連結</w:t>
      </w:r>
      <w:r w:rsidRPr="00095DBA">
        <w:rPr>
          <w:rFonts w:hint="eastAsia"/>
        </w:rPr>
        <w:t>中亞經濟區</w:t>
      </w:r>
      <w:r>
        <w:rPr>
          <w:rFonts w:hint="eastAsia"/>
        </w:rPr>
        <w:t>乃至於西亞、中東與歐盟地區，向西南則連結南亞與</w:t>
      </w:r>
      <w:r w:rsidRPr="00095DBA">
        <w:rPr>
          <w:rFonts w:hint="eastAsia"/>
        </w:rPr>
        <w:t>東</w:t>
      </w:r>
      <w:r>
        <w:rPr>
          <w:rFonts w:hint="eastAsia"/>
        </w:rPr>
        <w:t>協區域。</w:t>
      </w:r>
    </w:p>
    <w:p w:rsidR="00963EE9" w:rsidRPr="00A840AF" w:rsidRDefault="00A840AF" w:rsidP="00A840AF">
      <w:pPr>
        <w:pStyle w:val="2"/>
        <w:spacing w:beforeLines="100" w:before="360" w:after="108"/>
      </w:pPr>
      <w:bookmarkStart w:id="32" w:name="_Toc405462586"/>
      <w:r w:rsidRPr="0004372C">
        <w:rPr>
          <w:rFonts w:hint="eastAsia"/>
        </w:rPr>
        <w:lastRenderedPageBreak/>
        <w:t>第</w:t>
      </w:r>
      <w:r w:rsidR="00184771" w:rsidRPr="0004372C">
        <w:rPr>
          <w:rFonts w:hint="eastAsia"/>
        </w:rPr>
        <w:t>五</w:t>
      </w:r>
      <w:r w:rsidRPr="0004372C">
        <w:rPr>
          <w:rFonts w:hint="eastAsia"/>
        </w:rPr>
        <w:t>節　小結</w:t>
      </w:r>
      <w:bookmarkEnd w:id="32"/>
    </w:p>
    <w:p w:rsidR="00D507EB" w:rsidRDefault="00DB0C74" w:rsidP="00963EE9">
      <w:pPr>
        <w:pStyle w:val="-"/>
        <w:spacing w:before="108" w:after="108"/>
        <w:ind w:firstLine="520"/>
      </w:pPr>
      <w:r>
        <w:rPr>
          <w:rFonts w:hint="eastAsia"/>
        </w:rPr>
        <w:t>本章針對習李新政下的重要面向進行了不同性質議題的探討。首先就其未來的經濟成長方式觀察，可以得到由單一發展目標（</w:t>
      </w:r>
      <w:r>
        <w:t>GDP</w:t>
      </w:r>
      <w:r>
        <w:rPr>
          <w:rFonts w:hint="eastAsia"/>
        </w:rPr>
        <w:t>）逐漸調整為多重發展目標（就業、物價、</w:t>
      </w:r>
      <w:r>
        <w:t>GDP</w:t>
      </w:r>
      <w:r>
        <w:rPr>
          <w:rFonts w:hint="eastAsia"/>
        </w:rPr>
        <w:t>）的結論，並且針對傳統</w:t>
      </w:r>
      <w:r>
        <w:t>GDP</w:t>
      </w:r>
      <w:r>
        <w:rPr>
          <w:rFonts w:hint="eastAsia"/>
        </w:rPr>
        <w:t>成長目標的硬性限制也將放寬，這顯示了更多比純粹的經濟成長更重要的事情必須納入考量，包括經濟、社會與環境等方面的因素，也顯示了深化改革的時代意義</w:t>
      </w:r>
      <w:r w:rsidR="00CA6F92">
        <w:rPr>
          <w:rFonts w:hint="eastAsia"/>
        </w:rPr>
        <w:t>。然而，此一變化主要的挑戰在於能否成功轉型經濟與產業，否則長期經濟成長將會有問題</w:t>
      </w:r>
      <w:r>
        <w:rPr>
          <w:rFonts w:hint="eastAsia"/>
        </w:rPr>
        <w:t>。而展望</w:t>
      </w:r>
      <w:r>
        <w:t>2016</w:t>
      </w:r>
      <w:r>
        <w:rPr>
          <w:rFonts w:hint="eastAsia"/>
        </w:rPr>
        <w:t>年啟動生效的《十三五規劃》，必須從《十二五規劃中期評估》開始，我們看到目前落後的指標多屬於資源環境的分項領域，顯示環保領域的挑戰高；此外，評估之內容顯示了十二五規劃下半時期的重新調整，主要是將其與十八大換屆後之新政策方向做一接軌，以便於能讓五年規劃內容與時俱進，配合新領導班子的新思維，延續至下一個五年規劃。因此，對於已經進行的十三五規劃前期研究的重大課題分析，我們簡要以</w:t>
      </w:r>
      <w:r w:rsidRPr="00E22FC6">
        <w:rPr>
          <w:rFonts w:hint="eastAsia"/>
        </w:rPr>
        <w:t>「深化改革、創新轉型、積極開放、提升治理」等</w:t>
      </w:r>
      <w:r>
        <w:rPr>
          <w:rFonts w:hint="eastAsia"/>
        </w:rPr>
        <w:t>特色</w:t>
      </w:r>
      <w:r w:rsidRPr="00E22FC6">
        <w:rPr>
          <w:rFonts w:hint="eastAsia"/>
        </w:rPr>
        <w:t>來預測十三五規劃</w:t>
      </w:r>
      <w:r>
        <w:rPr>
          <w:rFonts w:hint="eastAsia"/>
        </w:rPr>
        <w:t>可能</w:t>
      </w:r>
      <w:r w:rsidRPr="00E22FC6">
        <w:rPr>
          <w:rFonts w:hint="eastAsia"/>
        </w:rPr>
        <w:t>之主要思維。</w:t>
      </w:r>
    </w:p>
    <w:p w:rsidR="00CA6F92" w:rsidRDefault="00DB0C74" w:rsidP="00D507EB">
      <w:pPr>
        <w:pStyle w:val="-"/>
        <w:spacing w:before="108" w:after="108"/>
        <w:ind w:firstLine="520"/>
      </w:pPr>
      <w:r>
        <w:rPr>
          <w:rFonts w:hint="eastAsia"/>
        </w:rPr>
        <w:t>除了綜合與整體層面的探索，以上也對於新型城鎮化以及重點區域發展地區加以研析。新型城鎮化目前在方向層面雖已明朗，但配套改革以及實行細節仍有待觀察。總的來說，新型城鎮化再次確認了全國兩橫三縱的城市群</w:t>
      </w:r>
      <w:r w:rsidR="00E41F3A">
        <w:rPr>
          <w:rFonts w:hint="eastAsia"/>
        </w:rPr>
        <w:t>布局</w:t>
      </w:r>
      <w:r>
        <w:rPr>
          <w:rFonts w:hint="eastAsia"/>
        </w:rPr>
        <w:t>格局、確認了「三個一億人」的農業轉移人口市民化的大方向、並且強調了新型城市建設綠色、智慧、人文的三大內涵。</w:t>
      </w:r>
      <w:r w:rsidR="00CA6F92">
        <w:rPr>
          <w:rFonts w:hint="eastAsia"/>
        </w:rPr>
        <w:t>未來推動新型城鎮化的挑戰在於如何避免過去重視硬體建設的老路，而這有賴其他配套改革的推進來支持。</w:t>
      </w:r>
    </w:p>
    <w:p w:rsidR="005A7422" w:rsidRDefault="00DB0C74" w:rsidP="00D507EB">
      <w:pPr>
        <w:pStyle w:val="-"/>
        <w:spacing w:before="108" w:after="108"/>
        <w:ind w:firstLine="520"/>
      </w:pPr>
      <w:r>
        <w:rPr>
          <w:rFonts w:hint="eastAsia"/>
        </w:rPr>
        <w:t>在區域發展上，</w:t>
      </w:r>
      <w:r w:rsidR="002D4BCE">
        <w:rPr>
          <w:rFonts w:hint="eastAsia"/>
        </w:rPr>
        <w:t>若回顧中國大陸區域政策，從計劃經濟到市場經濟時期，</w:t>
      </w:r>
      <w:r w:rsidR="002D4BCE" w:rsidRPr="002D4BCE">
        <w:rPr>
          <w:rFonts w:hint="eastAsia"/>
        </w:rPr>
        <w:t>大</w:t>
      </w:r>
      <w:r w:rsidR="002D4BCE">
        <w:rPr>
          <w:rFonts w:hint="eastAsia"/>
        </w:rPr>
        <w:t>致可說是經</w:t>
      </w:r>
      <w:r w:rsidR="002D4BCE" w:rsidRPr="002D4BCE">
        <w:rPr>
          <w:rFonts w:hint="eastAsia"/>
        </w:rPr>
        <w:t>歷了平衡發展</w:t>
      </w:r>
      <w:r w:rsidR="002D4BCE">
        <w:rPr>
          <w:rFonts w:hint="eastAsia"/>
        </w:rPr>
        <w:t>（計劃經濟時期向西推進）、不平衡發展（改革開放後到</w:t>
      </w:r>
      <w:r w:rsidR="002D4BCE">
        <w:rPr>
          <w:rFonts w:hint="eastAsia"/>
        </w:rPr>
        <w:t>90</w:t>
      </w:r>
      <w:r w:rsidR="002D4BCE">
        <w:rPr>
          <w:rFonts w:hint="eastAsia"/>
        </w:rPr>
        <w:t>年代初期由東部率先發展）到協調發展的戰略轉變。</w:t>
      </w:r>
      <w:r w:rsidR="002D4BCE">
        <w:rPr>
          <w:rFonts w:hint="eastAsia"/>
        </w:rPr>
        <w:lastRenderedPageBreak/>
        <w:t>九五計劃時代開始提出區域協調發展，後續陸續提出西部大開發、東北振興與中部崛起等板塊戰略，至今仍依此戰略主軸。而自</w:t>
      </w:r>
      <w:r>
        <w:rPr>
          <w:rFonts w:hint="eastAsia"/>
        </w:rPr>
        <w:t>中共十八大以來，就新一屆政府所逐步構建之區域發展政策藍圖當中，區域發展的政策思維已逐步由過去的「以區域發展帶動國家發展」轉向「國家發展策略的區域化」的特色</w:t>
      </w:r>
      <w:r w:rsidR="002D4BCE">
        <w:rPr>
          <w:rFonts w:hint="eastAsia"/>
        </w:rPr>
        <w:t>，</w:t>
      </w:r>
      <w:r w:rsidRPr="00E22FC6">
        <w:rPr>
          <w:rFonts w:hint="eastAsia"/>
        </w:rPr>
        <w:t>從上述習近平強調京津冀一體化和李克強提倡長江經濟帶，</w:t>
      </w:r>
      <w:r>
        <w:rPr>
          <w:rFonts w:hint="eastAsia"/>
        </w:rPr>
        <w:t>以及後續之珠江－西江經濟帶的內涵當中，都可以看到這些現象。此外，此處未能列入的</w:t>
      </w:r>
      <w:r w:rsidR="00F468EE">
        <w:rPr>
          <w:rFonts w:hint="eastAsia"/>
        </w:rPr>
        <w:t>中國大陸國務院</w:t>
      </w:r>
      <w:r>
        <w:rPr>
          <w:rFonts w:hint="eastAsia"/>
        </w:rPr>
        <w:t>於</w:t>
      </w:r>
      <w:r>
        <w:t>2014</w:t>
      </w:r>
      <w:r>
        <w:rPr>
          <w:rFonts w:hint="eastAsia"/>
        </w:rPr>
        <w:t>年</w:t>
      </w:r>
      <w:r>
        <w:t>4</w:t>
      </w:r>
      <w:r>
        <w:rPr>
          <w:rFonts w:hint="eastAsia"/>
        </w:rPr>
        <w:t>月通過之《晉陝豫黃河金三角區域合作規劃》，亦是以大河流域為區域規劃之主體，並且橫跨多個省份，且又是身處西部大開發和促進中部地區崛起兩大戰略之內的跨戰略區域。其同樣提及基礎設施的互聯互通、經濟與資源的互補合作與一體化發展，並且同樣要探索省際交界地區合作發展新路徑。</w:t>
      </w:r>
    </w:p>
    <w:p w:rsidR="00D507EB" w:rsidRDefault="00DB0C74" w:rsidP="00D507EB">
      <w:pPr>
        <w:pStyle w:val="-"/>
        <w:spacing w:before="108" w:after="108"/>
        <w:ind w:firstLine="520"/>
      </w:pPr>
      <w:r>
        <w:rPr>
          <w:rFonts w:hint="eastAsia"/>
        </w:rPr>
        <w:t>以上顯示了習李時代區域規劃的另一個脈絡是依託於大河流域。當然，以大江大河流域為主題，不代表僅止於水路，各項所謂要促成「互聯互通」的基礎設施，尤其是交通設施包括水路、鐵路、公路、空港等，都往往在目前重點區域規劃當中占據重要位置，這既反映了交通仍是目前中國大陸經濟與市場發展的重要前提，亦反映了中央要透過交通聯通來打破區域間市場分割的行政壁壘的企圖。</w:t>
      </w:r>
    </w:p>
    <w:p w:rsidR="005A7422" w:rsidRDefault="00DB0C74" w:rsidP="00963EE9">
      <w:pPr>
        <w:pStyle w:val="-"/>
        <w:spacing w:before="108" w:after="108"/>
        <w:ind w:firstLine="520"/>
        <w:rPr>
          <w:kern w:val="0"/>
        </w:rPr>
      </w:pPr>
      <w:r>
        <w:rPr>
          <w:rFonts w:hint="eastAsia"/>
        </w:rPr>
        <w:t>最後，本研究在此簡要更新深化改革之新動向。</w:t>
      </w:r>
      <w:r>
        <w:rPr>
          <w:rFonts w:hint="eastAsia"/>
          <w:kern w:val="0"/>
        </w:rPr>
        <w:t>如前所述，三中全會所決定設立之「中央全面深化改革領導小組」（以下簡稱「深改小組」）</w:t>
      </w:r>
      <w:r w:rsidRPr="00081E6B">
        <w:rPr>
          <w:rFonts w:hint="eastAsia"/>
        </w:rPr>
        <w:t>最終是由總書記習近平自己來擔任組長，</w:t>
      </w:r>
      <w:r w:rsidR="00081E6B" w:rsidRPr="00081E6B">
        <w:t>三位</w:t>
      </w:r>
      <w:r w:rsidR="00081E6B" w:rsidRPr="00081E6B">
        <w:rPr>
          <w:rFonts w:hint="eastAsia"/>
        </w:rPr>
        <w:t>中央政治局常委李克強、劉雲山、張高麗擔任副組長</w:t>
      </w:r>
      <w:r w:rsidR="00081E6B">
        <w:rPr>
          <w:rFonts w:hint="eastAsia"/>
        </w:rPr>
        <w:t>，另有黨政各部門領導為小組成員，</w:t>
      </w:r>
      <w:r w:rsidRPr="00081E6B">
        <w:rPr>
          <w:rFonts w:hint="eastAsia"/>
        </w:rPr>
        <w:t>使得</w:t>
      </w:r>
      <w:r>
        <w:rPr>
          <w:rFonts w:hint="eastAsia"/>
          <w:kern w:val="0"/>
        </w:rPr>
        <w:t>「深改小組」成為推動深化改革的最高決策組織，以為所謂進入「深水區」而困難重重、遭遇許多既得利益阻撓的各項改革重點來清除障礙，推動改革能有所進展。「深改小組」至今已召開</w:t>
      </w:r>
      <w:r w:rsidR="00B66E94">
        <w:rPr>
          <w:kern w:val="0"/>
        </w:rPr>
        <w:t>6</w:t>
      </w:r>
      <w:r>
        <w:rPr>
          <w:rFonts w:hint="eastAsia"/>
          <w:kern w:val="0"/>
        </w:rPr>
        <w:t>次會議，每次都是由組長習近平出席主持，日期分別為</w:t>
      </w:r>
      <w:r>
        <w:rPr>
          <w:kern w:val="0"/>
        </w:rPr>
        <w:t>2014</w:t>
      </w:r>
      <w:r>
        <w:rPr>
          <w:rFonts w:hint="eastAsia"/>
          <w:kern w:val="0"/>
        </w:rPr>
        <w:t>年的</w:t>
      </w:r>
      <w:r>
        <w:rPr>
          <w:kern w:val="0"/>
        </w:rPr>
        <w:t>1</w:t>
      </w:r>
      <w:r>
        <w:rPr>
          <w:rFonts w:hint="eastAsia"/>
          <w:kern w:val="0"/>
        </w:rPr>
        <w:t>月</w:t>
      </w:r>
      <w:r>
        <w:rPr>
          <w:kern w:val="0"/>
        </w:rPr>
        <w:t>22</w:t>
      </w:r>
      <w:r>
        <w:rPr>
          <w:rFonts w:hint="eastAsia"/>
          <w:kern w:val="0"/>
        </w:rPr>
        <w:t>日、</w:t>
      </w:r>
      <w:r>
        <w:rPr>
          <w:kern w:val="0"/>
        </w:rPr>
        <w:t>2</w:t>
      </w:r>
      <w:r>
        <w:rPr>
          <w:rFonts w:hint="eastAsia"/>
          <w:kern w:val="0"/>
        </w:rPr>
        <w:t>月</w:t>
      </w:r>
      <w:r>
        <w:rPr>
          <w:kern w:val="0"/>
        </w:rPr>
        <w:t>28</w:t>
      </w:r>
      <w:r>
        <w:rPr>
          <w:rFonts w:hint="eastAsia"/>
          <w:kern w:val="0"/>
        </w:rPr>
        <w:t>日、</w:t>
      </w:r>
      <w:r>
        <w:rPr>
          <w:kern w:val="0"/>
        </w:rPr>
        <w:t>6</w:t>
      </w:r>
      <w:r>
        <w:rPr>
          <w:rFonts w:hint="eastAsia"/>
          <w:kern w:val="0"/>
        </w:rPr>
        <w:t>月</w:t>
      </w:r>
      <w:r>
        <w:rPr>
          <w:kern w:val="0"/>
        </w:rPr>
        <w:t>6</w:t>
      </w:r>
      <w:r>
        <w:rPr>
          <w:rFonts w:hint="eastAsia"/>
          <w:kern w:val="0"/>
        </w:rPr>
        <w:t>日、</w:t>
      </w:r>
      <w:r>
        <w:rPr>
          <w:kern w:val="0"/>
        </w:rPr>
        <w:t>8</w:t>
      </w:r>
      <w:r>
        <w:rPr>
          <w:rFonts w:hint="eastAsia"/>
          <w:kern w:val="0"/>
        </w:rPr>
        <w:t>月</w:t>
      </w:r>
      <w:r>
        <w:rPr>
          <w:kern w:val="0"/>
        </w:rPr>
        <w:t>18</w:t>
      </w:r>
      <w:r>
        <w:rPr>
          <w:rFonts w:hint="eastAsia"/>
          <w:kern w:val="0"/>
        </w:rPr>
        <w:t>日</w:t>
      </w:r>
      <w:r w:rsidR="00B66E94">
        <w:rPr>
          <w:rFonts w:hint="eastAsia"/>
          <w:kern w:val="0"/>
        </w:rPr>
        <w:t>、</w:t>
      </w:r>
      <w:r>
        <w:rPr>
          <w:kern w:val="0"/>
        </w:rPr>
        <w:t>9</w:t>
      </w:r>
      <w:r>
        <w:rPr>
          <w:rFonts w:hint="eastAsia"/>
          <w:kern w:val="0"/>
        </w:rPr>
        <w:t>月</w:t>
      </w:r>
      <w:r>
        <w:rPr>
          <w:kern w:val="0"/>
        </w:rPr>
        <w:t>29</w:t>
      </w:r>
      <w:r>
        <w:rPr>
          <w:rFonts w:hint="eastAsia"/>
          <w:kern w:val="0"/>
        </w:rPr>
        <w:t>日</w:t>
      </w:r>
      <w:r w:rsidR="00B66E94">
        <w:rPr>
          <w:rFonts w:hint="eastAsia"/>
          <w:kern w:val="0"/>
        </w:rPr>
        <w:t>與</w:t>
      </w:r>
      <w:r w:rsidR="00B66E94">
        <w:rPr>
          <w:rFonts w:hint="eastAsia"/>
          <w:kern w:val="0"/>
        </w:rPr>
        <w:t>10</w:t>
      </w:r>
      <w:r w:rsidR="00B66E94">
        <w:rPr>
          <w:rFonts w:hint="eastAsia"/>
          <w:kern w:val="0"/>
        </w:rPr>
        <w:t>月</w:t>
      </w:r>
      <w:r w:rsidR="00B66E94">
        <w:rPr>
          <w:rFonts w:hint="eastAsia"/>
          <w:kern w:val="0"/>
        </w:rPr>
        <w:t>27</w:t>
      </w:r>
      <w:r w:rsidR="00B66E94">
        <w:rPr>
          <w:rFonts w:hint="eastAsia"/>
          <w:kern w:val="0"/>
        </w:rPr>
        <w:t>日</w:t>
      </w:r>
      <w:r>
        <w:rPr>
          <w:rFonts w:hint="eastAsia"/>
          <w:kern w:val="0"/>
        </w:rPr>
        <w:t>；其下分別設立經濟體制和生態文明體制改革、</w:t>
      </w:r>
      <w:r>
        <w:rPr>
          <w:rFonts w:hint="eastAsia"/>
          <w:kern w:val="0"/>
        </w:rPr>
        <w:lastRenderedPageBreak/>
        <w:t>民主法制領域改革、文化體制改革、社會體制改革、黨的建設制度改革、紀律檢查體制改革等</w:t>
      </w:r>
      <w:r>
        <w:rPr>
          <w:kern w:val="0"/>
        </w:rPr>
        <w:t>6</w:t>
      </w:r>
      <w:r>
        <w:rPr>
          <w:rFonts w:hint="eastAsia"/>
          <w:kern w:val="0"/>
        </w:rPr>
        <w:t>個專項小組。</w:t>
      </w:r>
    </w:p>
    <w:p w:rsidR="00D058AD" w:rsidRDefault="00DB0C74" w:rsidP="00963EE9">
      <w:pPr>
        <w:pStyle w:val="-"/>
        <w:spacing w:before="108" w:after="108"/>
        <w:ind w:firstLine="520"/>
      </w:pPr>
      <w:r>
        <w:rPr>
          <w:rFonts w:hint="eastAsia"/>
          <w:kern w:val="0"/>
        </w:rPr>
        <w:t>根據媒體報導內容，歷次會議已經通過許多改革文件，舉其要者，包括以下領域或議題：財稅體制改革、戶籍制度改革、司法體制改革試點、設立知識產權法院、中央管理企業主要負責人薪酬待遇與業務支出、推動</w:t>
      </w:r>
      <w:r w:rsidR="00B66E94">
        <w:rPr>
          <w:rFonts w:hint="eastAsia"/>
          <w:kern w:val="0"/>
        </w:rPr>
        <w:t>傳統媒體和新興媒體融合發展、農村土地承包經營權流轉與農業規模經營、農民股份合作賦予集體資產股份權能改革試點、深化中央財政科技計畫管理改革、</w:t>
      </w:r>
      <w:r w:rsidR="00B66E94" w:rsidRPr="00B66E94">
        <w:rPr>
          <w:rFonts w:hint="eastAsia"/>
          <w:kern w:val="0"/>
        </w:rPr>
        <w:t>加強社會主義協商民主建設</w:t>
      </w:r>
      <w:r w:rsidR="00B66E94">
        <w:rPr>
          <w:rFonts w:hint="eastAsia"/>
          <w:kern w:val="0"/>
        </w:rPr>
        <w:t>、上海自貿區經驗複製推廣、</w:t>
      </w:r>
      <w:r w:rsidR="00B66E94" w:rsidRPr="00B66E94">
        <w:rPr>
          <w:rFonts w:hint="eastAsia"/>
          <w:kern w:val="0"/>
        </w:rPr>
        <w:t>加強新型智庫建設</w:t>
      </w:r>
      <w:r w:rsidR="00B66E94">
        <w:rPr>
          <w:rFonts w:hint="eastAsia"/>
          <w:kern w:val="0"/>
        </w:rPr>
        <w:t>、</w:t>
      </w:r>
      <w:r w:rsidR="00B66E94" w:rsidRPr="00B66E94">
        <w:rPr>
          <w:rFonts w:hint="eastAsia"/>
          <w:kern w:val="0"/>
        </w:rPr>
        <w:t>國家重大科研基礎設施和大型儀器向社會開放</w:t>
      </w:r>
      <w:r w:rsidR="00B66E94">
        <w:rPr>
          <w:rFonts w:hint="eastAsia"/>
          <w:kern w:val="0"/>
        </w:rPr>
        <w:t>等。各個經過「深改小組」審議或通過的文件事項，若非已經</w:t>
      </w:r>
      <w:r w:rsidR="00F468EE">
        <w:rPr>
          <w:rFonts w:hint="eastAsia"/>
          <w:kern w:val="0"/>
        </w:rPr>
        <w:t>中國大陸國務院</w:t>
      </w:r>
      <w:r w:rsidR="007B11B8">
        <w:rPr>
          <w:rFonts w:hint="eastAsia"/>
          <w:kern w:val="0"/>
        </w:rPr>
        <w:t>公布</w:t>
      </w:r>
      <w:r>
        <w:rPr>
          <w:rFonts w:hint="eastAsia"/>
          <w:kern w:val="0"/>
        </w:rPr>
        <w:t>實施，就是正在積極制定正式文件以便實施。未來仍可持續觀察其所處理之議題領域，必然是深化改革動向的重要風向球。</w:t>
      </w:r>
    </w:p>
    <w:p w:rsidR="00A840AF" w:rsidRPr="00963EE9" w:rsidRDefault="00A840AF" w:rsidP="00963EE9">
      <w:pPr>
        <w:pStyle w:val="-"/>
        <w:spacing w:before="108" w:after="108"/>
        <w:ind w:firstLine="520"/>
        <w:sectPr w:rsidR="00A840AF" w:rsidRPr="00963EE9" w:rsidSect="00510EC9">
          <w:type w:val="oddPage"/>
          <w:pgSz w:w="11906" w:h="16838"/>
          <w:pgMar w:top="1440" w:right="1800" w:bottom="1440" w:left="1800" w:header="851" w:footer="992" w:gutter="0"/>
          <w:cols w:space="425"/>
          <w:docGrid w:type="lines" w:linePitch="360"/>
        </w:sectPr>
      </w:pPr>
    </w:p>
    <w:p w:rsidR="00510EC9" w:rsidRPr="00006995" w:rsidRDefault="00DB0C74" w:rsidP="001539CC">
      <w:pPr>
        <w:pStyle w:val="1"/>
      </w:pPr>
      <w:bookmarkStart w:id="33" w:name="_Toc405462587"/>
      <w:r w:rsidRPr="0066401D">
        <w:rPr>
          <w:rFonts w:hint="eastAsia"/>
        </w:rPr>
        <w:lastRenderedPageBreak/>
        <w:t>第三章　稅制調整下生產性服務業之發展</w:t>
      </w:r>
      <w:bookmarkEnd w:id="33"/>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製造業一直是中國大陸經濟發展的重要動能，在國民經濟水準發展到一定程度後，服務業發展日趨重要。然而，由於過去政策和資源過度偏重製造業，以致於現今服務業發展相對落後。已開發國家服務業多占</w:t>
      </w:r>
      <w:r w:rsidRPr="006A701C">
        <w:rPr>
          <w:rFonts w:eastAsia="標楷體"/>
          <w:sz w:val="26"/>
        </w:rPr>
        <w:t>GDP</w:t>
      </w:r>
      <w:r w:rsidRPr="006A701C">
        <w:rPr>
          <w:rFonts w:eastAsia="標楷體" w:hint="eastAsia"/>
          <w:sz w:val="26"/>
        </w:rPr>
        <w:t>比重達六、七成，而中國大陸服務業占</w:t>
      </w:r>
      <w:r w:rsidRPr="006A701C">
        <w:rPr>
          <w:rFonts w:eastAsia="標楷體"/>
          <w:sz w:val="26"/>
        </w:rPr>
        <w:t>GDP</w:t>
      </w:r>
      <w:r w:rsidRPr="006A701C">
        <w:rPr>
          <w:rFonts w:eastAsia="標楷體" w:hint="eastAsia"/>
          <w:sz w:val="26"/>
        </w:rPr>
        <w:t>比重從</w:t>
      </w:r>
      <w:r w:rsidRPr="006A701C">
        <w:rPr>
          <w:rFonts w:eastAsia="標楷體"/>
          <w:sz w:val="26"/>
        </w:rPr>
        <w:t>1990</w:t>
      </w:r>
      <w:r w:rsidRPr="006A701C">
        <w:rPr>
          <w:rFonts w:eastAsia="標楷體" w:hint="eastAsia"/>
          <w:sz w:val="26"/>
        </w:rPr>
        <w:t>年約三成到</w:t>
      </w:r>
      <w:r w:rsidRPr="006A701C">
        <w:rPr>
          <w:rFonts w:eastAsia="標楷體"/>
          <w:sz w:val="26"/>
        </w:rPr>
        <w:t>2013</w:t>
      </w:r>
      <w:r w:rsidRPr="006A701C">
        <w:rPr>
          <w:rFonts w:eastAsia="標楷體" w:hint="eastAsia"/>
          <w:sz w:val="26"/>
        </w:rPr>
        <w:t>年約四成六，到了近幾年發展才略為加快，</w:t>
      </w:r>
      <w:r w:rsidRPr="006A701C">
        <w:rPr>
          <w:rFonts w:eastAsia="標楷體"/>
          <w:sz w:val="26"/>
        </w:rPr>
        <w:t>2013</w:t>
      </w:r>
      <w:r w:rsidRPr="006A701C">
        <w:rPr>
          <w:rFonts w:eastAsia="標楷體" w:hint="eastAsia"/>
          <w:sz w:val="26"/>
        </w:rPr>
        <w:t>年其比重才首次超過工業（圖</w:t>
      </w:r>
      <w:r w:rsidRPr="006A701C">
        <w:rPr>
          <w:rFonts w:eastAsia="標楷體"/>
          <w:sz w:val="26"/>
        </w:rPr>
        <w:t>3-1</w:t>
      </w:r>
      <w:r w:rsidRPr="006A701C">
        <w:rPr>
          <w:rFonts w:eastAsia="標楷體" w:hint="eastAsia"/>
          <w:sz w:val="26"/>
        </w:rPr>
        <w:t>）。近年來，中國大陸開始重視服務業發展的相關政策，像是《服務業發展十二五規劃》和《現代服務業科技發展十二五專項規劃》等，不但要營造利於服務業發展的環境，還要藉由發展服務業進行產業結構轉型升級。所謂的「營業稅改徵增值稅」政策（營改增），其政策目的之一即為在此脈絡下，希望透過稅制改革來調整服務業發展的制度制約，以深化服務業的發展，並且藉此達到產業結構調整的目標。</w:t>
      </w:r>
    </w:p>
    <w:p w:rsidR="006A701C" w:rsidRPr="006A701C" w:rsidRDefault="00796180" w:rsidP="006A701C">
      <w:pPr>
        <w:jc w:val="center"/>
        <w:rPr>
          <w:rFonts w:ascii="標楷體" w:eastAsia="標楷體"/>
          <w:sz w:val="26"/>
        </w:rPr>
      </w:pPr>
      <w:r>
        <w:rPr>
          <w:rFonts w:ascii="標楷體" w:eastAsia="標楷體"/>
          <w:noProof/>
          <w:sz w:val="26"/>
        </w:rPr>
        <w:drawing>
          <wp:inline distT="0" distB="0" distL="0" distR="0">
            <wp:extent cx="5186045" cy="2715895"/>
            <wp:effectExtent l="0" t="0" r="0" b="8255"/>
            <wp:docPr id="8" name="圖片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701C" w:rsidRPr="006A701C" w:rsidRDefault="00DE1D40" w:rsidP="006A701C">
      <w:pPr>
        <w:spacing w:afterLines="50" w:after="180"/>
        <w:ind w:firstLine="482"/>
        <w:rPr>
          <w:rFonts w:eastAsia="標楷體"/>
          <w:sz w:val="20"/>
          <w:szCs w:val="22"/>
        </w:rPr>
      </w:pPr>
      <w:r>
        <w:rPr>
          <w:rFonts w:eastAsia="標楷體" w:hint="eastAsia"/>
          <w:sz w:val="20"/>
          <w:szCs w:val="22"/>
        </w:rPr>
        <w:t>資料來源：</w:t>
      </w:r>
      <w:r w:rsidR="00CC46B2">
        <w:rPr>
          <w:rFonts w:eastAsia="標楷體" w:hint="eastAsia"/>
          <w:sz w:val="20"/>
          <w:szCs w:val="22"/>
        </w:rPr>
        <w:t>中國大陸國家統計局</w:t>
      </w:r>
      <w:r w:rsidR="00DB0C74" w:rsidRPr="006A701C">
        <w:rPr>
          <w:rFonts w:eastAsia="標楷體" w:hint="eastAsia"/>
          <w:sz w:val="20"/>
          <w:szCs w:val="22"/>
        </w:rPr>
        <w:t>；本研究繪製。</w:t>
      </w:r>
    </w:p>
    <w:p w:rsidR="006A701C" w:rsidRPr="00032EE2" w:rsidRDefault="00DB0C74" w:rsidP="00032EE2">
      <w:pPr>
        <w:pStyle w:val="af0"/>
      </w:pPr>
      <w:bookmarkStart w:id="34" w:name="_Toc391917232"/>
      <w:bookmarkStart w:id="35" w:name="_Toc405462624"/>
      <w:r w:rsidRPr="00032EE2">
        <w:rPr>
          <w:rFonts w:hint="eastAsia"/>
        </w:rPr>
        <w:t>圖</w:t>
      </w:r>
      <w:r w:rsidRPr="00032EE2">
        <w:t>3-1</w:t>
      </w:r>
      <w:r w:rsidRPr="00032EE2">
        <w:rPr>
          <w:rFonts w:hint="eastAsia"/>
        </w:rPr>
        <w:t xml:space="preserve">　中國大陸三級產業生產總額結構：</w:t>
      </w:r>
      <w:bookmarkEnd w:id="34"/>
      <w:r w:rsidRPr="00032EE2">
        <w:t>1990-2013</w:t>
      </w:r>
      <w:r w:rsidR="0035101D">
        <w:rPr>
          <w:rFonts w:hint="eastAsia"/>
          <w:lang w:eastAsia="zh-TW"/>
        </w:rPr>
        <w:t>年</w:t>
      </w:r>
      <w:bookmarkEnd w:id="35"/>
    </w:p>
    <w:p w:rsidR="00C47671" w:rsidRDefault="00C47671" w:rsidP="00145EA3">
      <w:pPr>
        <w:spacing w:beforeLines="30" w:before="108" w:afterLines="30" w:after="108" w:line="520" w:lineRule="exact"/>
        <w:ind w:firstLineChars="200" w:firstLine="520"/>
        <w:jc w:val="both"/>
        <w:rPr>
          <w:rFonts w:eastAsia="標楷體"/>
          <w:sz w:val="26"/>
        </w:rPr>
      </w:pPr>
    </w:p>
    <w:p w:rsidR="00145EA3" w:rsidRDefault="00796180" w:rsidP="00C47671">
      <w:pPr>
        <w:spacing w:beforeLines="30" w:before="108" w:afterLines="30" w:after="108" w:line="520" w:lineRule="exact"/>
        <w:ind w:firstLineChars="200" w:firstLine="520"/>
        <w:jc w:val="both"/>
        <w:rPr>
          <w:rFonts w:eastAsia="標楷體"/>
          <w:sz w:val="26"/>
        </w:rPr>
      </w:pPr>
      <w:r>
        <w:rPr>
          <w:rFonts w:eastAsia="標楷體"/>
          <w:noProof/>
          <w:sz w:val="26"/>
        </w:rPr>
        <w:lastRenderedPageBreak/>
        <w:drawing>
          <wp:anchor distT="0" distB="0" distL="114300" distR="114300" simplePos="0" relativeHeight="10" behindDoc="0" locked="0" layoutInCell="1" allowOverlap="1">
            <wp:simplePos x="0" y="0"/>
            <wp:positionH relativeFrom="margin">
              <wp:posOffset>-1270</wp:posOffset>
            </wp:positionH>
            <wp:positionV relativeFrom="margin">
              <wp:posOffset>4401820</wp:posOffset>
            </wp:positionV>
            <wp:extent cx="5273675" cy="2839085"/>
            <wp:effectExtent l="0" t="0" r="3175" b="0"/>
            <wp:wrapTopAndBottom/>
            <wp:docPr id="533" name="圖片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2839085"/>
                    </a:xfrm>
                    <a:prstGeom prst="rect">
                      <a:avLst/>
                    </a:prstGeom>
                    <a:noFill/>
                  </pic:spPr>
                </pic:pic>
              </a:graphicData>
            </a:graphic>
            <wp14:sizeRelH relativeFrom="page">
              <wp14:pctWidth>0</wp14:pctWidth>
            </wp14:sizeRelH>
            <wp14:sizeRelV relativeFrom="page">
              <wp14:pctHeight>0</wp14:pctHeight>
            </wp14:sizeRelV>
          </wp:anchor>
        </w:drawing>
      </w:r>
      <w:r w:rsidR="00DB0C74" w:rsidRPr="006A701C">
        <w:rPr>
          <w:rFonts w:eastAsia="標楷體" w:hint="eastAsia"/>
          <w:sz w:val="26"/>
        </w:rPr>
        <w:t>在本章中我們將分析焦點置於營改增政策對生產性服務業的影響，原因在於目前營改增政策主要針對所謂的生產性服務業，且此類產業與其他工商業之產業鏈關係較緊密，其所產生的意涵也較多元。</w:t>
      </w:r>
      <w:r w:rsidR="00145EA3">
        <w:rPr>
          <w:rFonts w:eastAsia="標楷體" w:hint="eastAsia"/>
          <w:sz w:val="26"/>
        </w:rPr>
        <w:t>以下</w:t>
      </w:r>
      <w:r w:rsidR="00145EA3" w:rsidRPr="005967B8">
        <w:rPr>
          <w:rFonts w:eastAsia="標楷體" w:hint="eastAsia"/>
          <w:sz w:val="26"/>
        </w:rPr>
        <w:t>將於圖</w:t>
      </w:r>
      <w:r w:rsidR="00145EA3" w:rsidRPr="005967B8">
        <w:rPr>
          <w:rFonts w:eastAsia="標楷體" w:hint="eastAsia"/>
          <w:sz w:val="26"/>
        </w:rPr>
        <w:t>3-2</w:t>
      </w:r>
      <w:r w:rsidR="00145EA3" w:rsidRPr="005967B8">
        <w:rPr>
          <w:rFonts w:eastAsia="標楷體" w:hint="eastAsia"/>
          <w:sz w:val="26"/>
        </w:rPr>
        <w:t>分別繪製生產性服務業、第三產業（服務業）與國內生產毛額（</w:t>
      </w:r>
      <w:r w:rsidR="00145EA3" w:rsidRPr="005967B8">
        <w:rPr>
          <w:rFonts w:eastAsia="標楷體" w:hint="eastAsia"/>
          <w:sz w:val="26"/>
        </w:rPr>
        <w:t>GDP</w:t>
      </w:r>
      <w:r w:rsidR="00145EA3" w:rsidRPr="005967B8">
        <w:rPr>
          <w:rFonts w:eastAsia="標楷體" w:hint="eastAsia"/>
          <w:sz w:val="26"/>
        </w:rPr>
        <w:t>）的成長率以為參考。因中國大陸曾於</w:t>
      </w:r>
      <w:r w:rsidR="00145EA3" w:rsidRPr="005967B8">
        <w:rPr>
          <w:rFonts w:eastAsia="標楷體" w:hint="eastAsia"/>
          <w:sz w:val="26"/>
        </w:rPr>
        <w:t>2003</w:t>
      </w:r>
      <w:r w:rsidR="00145EA3" w:rsidRPr="005967B8">
        <w:rPr>
          <w:rFonts w:eastAsia="標楷體" w:hint="eastAsia"/>
          <w:sz w:val="26"/>
        </w:rPr>
        <w:t>年改變其對服務業的分類方式，僅選擇</w:t>
      </w:r>
      <w:r w:rsidR="00145EA3" w:rsidRPr="005967B8">
        <w:rPr>
          <w:rFonts w:eastAsia="標楷體" w:hint="eastAsia"/>
          <w:sz w:val="26"/>
        </w:rPr>
        <w:t>2004</w:t>
      </w:r>
      <w:r w:rsidR="00145EA3" w:rsidRPr="005967B8">
        <w:rPr>
          <w:rFonts w:eastAsia="標楷體" w:hint="eastAsia"/>
          <w:sz w:val="26"/>
        </w:rPr>
        <w:t>年以後之資料進行討論。首先，我們可明顯看出平均而言</w:t>
      </w:r>
      <w:r w:rsidR="00145EA3" w:rsidRPr="005967B8">
        <w:rPr>
          <w:rFonts w:eastAsia="標楷體" w:hint="eastAsia"/>
          <w:sz w:val="26"/>
        </w:rPr>
        <w:t>GDP</w:t>
      </w:r>
      <w:r w:rsidR="00145EA3" w:rsidRPr="005967B8">
        <w:rPr>
          <w:rFonts w:eastAsia="標楷體" w:hint="eastAsia"/>
          <w:sz w:val="26"/>
        </w:rPr>
        <w:t>的成長率最高、生產性服務業的成長率最低、整體服務業則居中，這樣的態勢也呈現出先前曾提及的中國大陸產業發展重點。在</w:t>
      </w:r>
      <w:r w:rsidR="00145EA3" w:rsidRPr="005967B8">
        <w:rPr>
          <w:rFonts w:eastAsia="標楷體" w:hint="eastAsia"/>
          <w:sz w:val="26"/>
        </w:rPr>
        <w:t>2010</w:t>
      </w:r>
      <w:r w:rsidR="00145EA3" w:rsidRPr="005967B8">
        <w:rPr>
          <w:rFonts w:eastAsia="標楷體" w:hint="eastAsia"/>
          <w:sz w:val="26"/>
        </w:rPr>
        <w:t>以前，其並未將重心置於服務業上，因此其成長率較</w:t>
      </w:r>
      <w:r w:rsidR="00145EA3" w:rsidRPr="005967B8">
        <w:rPr>
          <w:rFonts w:eastAsia="標楷體" w:hint="eastAsia"/>
          <w:sz w:val="26"/>
        </w:rPr>
        <w:t>GDP</w:t>
      </w:r>
      <w:r w:rsidR="00145EA3" w:rsidRPr="005967B8">
        <w:rPr>
          <w:rFonts w:eastAsia="標楷體" w:hint="eastAsia"/>
          <w:sz w:val="26"/>
        </w:rPr>
        <w:t>為低；而在服務業中，早期雙軌稅制所產生的重複課稅問題對生產性服務業有較不利的影響，因此發展速度又相對較為緩慢。其次，我們可以看到成長率的差異在</w:t>
      </w:r>
      <w:r w:rsidR="00145EA3" w:rsidRPr="005967B8">
        <w:rPr>
          <w:rFonts w:eastAsia="標楷體" w:hint="eastAsia"/>
          <w:sz w:val="26"/>
        </w:rPr>
        <w:t>2010~2011</w:t>
      </w:r>
      <w:r w:rsidR="00145EA3" w:rsidRPr="005967B8">
        <w:rPr>
          <w:rFonts w:eastAsia="標楷體" w:hint="eastAsia"/>
          <w:sz w:val="26"/>
        </w:rPr>
        <w:t>年間有拉近的趨勢，這或許反映了中國大陸近來越來越重視生產性服務業的發展。</w:t>
      </w:r>
    </w:p>
    <w:p w:rsidR="00145EA3" w:rsidRPr="000F5897" w:rsidRDefault="00145EA3" w:rsidP="00145EA3">
      <w:pPr>
        <w:spacing w:beforeLines="30" w:before="108" w:afterLines="30" w:after="108" w:line="520" w:lineRule="exact"/>
        <w:jc w:val="both"/>
        <w:rPr>
          <w:rFonts w:eastAsia="標楷體"/>
          <w:sz w:val="20"/>
          <w:szCs w:val="20"/>
        </w:rPr>
      </w:pPr>
      <w:r w:rsidRPr="000F5897">
        <w:rPr>
          <w:rFonts w:eastAsia="標楷體" w:hint="eastAsia"/>
          <w:sz w:val="20"/>
          <w:szCs w:val="20"/>
        </w:rPr>
        <w:t>資料來源</w:t>
      </w:r>
      <w:r w:rsidRPr="000F5897">
        <w:rPr>
          <w:rFonts w:eastAsia="標楷體" w:hint="eastAsia"/>
          <w:sz w:val="20"/>
          <w:szCs w:val="20"/>
        </w:rPr>
        <w:t xml:space="preserve">: </w:t>
      </w:r>
      <w:r>
        <w:rPr>
          <w:rFonts w:eastAsia="標楷體" w:hint="eastAsia"/>
          <w:sz w:val="20"/>
          <w:szCs w:val="20"/>
        </w:rPr>
        <w:t>中國統計年鑑。</w:t>
      </w:r>
      <w:r w:rsidRPr="000F5897">
        <w:rPr>
          <w:rFonts w:eastAsia="標楷體" w:hint="eastAsia"/>
          <w:sz w:val="20"/>
          <w:szCs w:val="20"/>
        </w:rPr>
        <w:t>本研究繪製</w:t>
      </w:r>
    </w:p>
    <w:p w:rsidR="0090432D" w:rsidRPr="0090432D" w:rsidRDefault="0090432D" w:rsidP="0090432D">
      <w:pPr>
        <w:pStyle w:val="af0"/>
      </w:pPr>
      <w:bookmarkStart w:id="36" w:name="_Toc405462625"/>
      <w:r w:rsidRPr="0090432D">
        <w:rPr>
          <w:rFonts w:hint="eastAsia"/>
        </w:rPr>
        <w:t>圖</w:t>
      </w:r>
      <w:r>
        <w:rPr>
          <w:rFonts w:hint="eastAsia"/>
        </w:rPr>
        <w:t>3-</w:t>
      </w:r>
      <w:r>
        <w:rPr>
          <w:rFonts w:hint="eastAsia"/>
          <w:lang w:eastAsia="zh-TW"/>
        </w:rPr>
        <w:t>2</w:t>
      </w:r>
      <w:r w:rsidR="00B40192">
        <w:rPr>
          <w:rFonts w:hint="eastAsia"/>
          <w:lang w:eastAsia="zh-TW"/>
        </w:rPr>
        <w:t xml:space="preserve">  </w:t>
      </w:r>
      <w:r w:rsidRPr="0090432D">
        <w:rPr>
          <w:rFonts w:hint="eastAsia"/>
        </w:rPr>
        <w:t>生產性服務業與第三級產業、</w:t>
      </w:r>
      <w:r>
        <w:rPr>
          <w:rFonts w:hint="eastAsia"/>
        </w:rPr>
        <w:t>國內</w:t>
      </w:r>
      <w:r w:rsidRPr="0090432D">
        <w:rPr>
          <w:rFonts w:hint="eastAsia"/>
        </w:rPr>
        <w:t>生產毛額成長率之比較</w:t>
      </w:r>
      <w:bookmarkEnd w:id="36"/>
    </w:p>
    <w:p w:rsidR="006A701C" w:rsidRPr="006A701C" w:rsidRDefault="00145EA3" w:rsidP="00145EA3">
      <w:pPr>
        <w:spacing w:beforeLines="30" w:before="108" w:afterLines="30" w:after="108" w:line="520" w:lineRule="exact"/>
        <w:ind w:firstLineChars="200" w:firstLine="520"/>
        <w:jc w:val="both"/>
        <w:rPr>
          <w:rFonts w:eastAsia="標楷體"/>
          <w:sz w:val="26"/>
        </w:rPr>
      </w:pPr>
      <w:r w:rsidRPr="006A701C">
        <w:rPr>
          <w:rFonts w:eastAsia="標楷體" w:hint="eastAsia"/>
          <w:sz w:val="26"/>
        </w:rPr>
        <w:t>以下，第一節將說明營改增政策試點至今的推動概況，</w:t>
      </w:r>
      <w:r w:rsidR="00DB0C74" w:rsidRPr="006A701C">
        <w:rPr>
          <w:rFonts w:eastAsia="標楷體" w:hint="eastAsia"/>
          <w:sz w:val="26"/>
        </w:rPr>
        <w:t>簡述政策發展歷程、目標與其時程、範圍等。第二節討論營改增對產業的影響，包含有</w:t>
      </w:r>
      <w:r w:rsidR="00DB0C74" w:rsidRPr="006A701C">
        <w:rPr>
          <w:rFonts w:eastAsia="標楷體" w:hint="eastAsia"/>
          <w:sz w:val="26"/>
        </w:rPr>
        <w:lastRenderedPageBreak/>
        <w:t>直接的稅負影響、稅制改革後所產生的結構調整及結構優化後的產能提升等效果。在瞭解政策影響後，最後於第三節進行小結並略述營改增政策對我國之意涵。</w:t>
      </w:r>
    </w:p>
    <w:p w:rsidR="006A701C" w:rsidRPr="0066401D" w:rsidRDefault="006A701C" w:rsidP="00155D97">
      <w:pPr>
        <w:pStyle w:val="2"/>
        <w:spacing w:beforeLines="150" w:before="540" w:after="108"/>
      </w:pPr>
      <w:bookmarkStart w:id="37" w:name="_Toc405462588"/>
      <w:r w:rsidRPr="0066401D">
        <w:rPr>
          <w:rFonts w:hint="eastAsia"/>
        </w:rPr>
        <w:t>第一節</w:t>
      </w:r>
      <w:r w:rsidRPr="0066401D">
        <w:t xml:space="preserve"> </w:t>
      </w:r>
      <w:r w:rsidRPr="0066401D">
        <w:rPr>
          <w:rFonts w:hint="eastAsia"/>
        </w:rPr>
        <w:t>營改增試點推動概況</w:t>
      </w:r>
      <w:bookmarkEnd w:id="37"/>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中國大陸服務業課徵營業稅、製造業課徵增值稅，這是自</w:t>
      </w:r>
      <w:r w:rsidRPr="006A701C">
        <w:rPr>
          <w:rFonts w:eastAsia="標楷體"/>
          <w:sz w:val="26"/>
        </w:rPr>
        <w:t>1994</w:t>
      </w:r>
      <w:r w:rsidRPr="006A701C">
        <w:rPr>
          <w:rFonts w:eastAsia="標楷體" w:hint="eastAsia"/>
          <w:sz w:val="26"/>
        </w:rPr>
        <w:t>年建立分稅制以來的穩定格局，造就了製造業的高速成長，但也造成了服務業受到壓縮，兩類產業之間的融合亦不足。三中改革文件提出「深化財稅體制改革」是排序第四的改革領域，其中包括了稅制、財政、事權、轉移支付、預算等方面的改革。與企業經營最直接相關的在於稅制改革，而其中增值稅改革即為是改革重點之一。所謂增值稅改革，主要就是已經開始進行試點的「營業稅改增值稅」（營改增）。此節將就營改增之政策背景目標、其試點發展歷程與涵蓋之省市與產業進行說明。</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營改增推行的背景是為了深化財稅體制改革、透過結構性減稅來促進經濟的穩定成長，以及經濟和產業結構的進一步優化調整。中國大陸國務院總理李克強曾經表示，實施營改增是推動製造業升級、解決服務業發展落後等問題的重要措施。在此一明確的改革方向下，從單點特定行業到多點特定行業試驗，再擴及到全國特定行業施行，逐步以地區、行業雙向擴大的方式來進行。</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營改增主要目的在於透過統一稅制來促進公平競爭，並消除重複課稅，減輕產業稅負。此一租稅新政被視為官方讓利於民的減稅政策，對於產業結構調整和推動服務業發展有重大助益。從三級產業而言，讓生產性服務業從原本（就營業總額）課徵營業稅，改為（就附加價值）課徵增值稅後，其將可被列為下游製造業的進項稅額扣抵，可促進製造業企業將生產性服務業外包，有助於製造業和服務業更加交互融合，進而調整產業結構，促</w:t>
      </w:r>
      <w:r w:rsidRPr="006A701C">
        <w:rPr>
          <w:rFonts w:eastAsia="標楷體" w:hint="eastAsia"/>
          <w:sz w:val="26"/>
        </w:rPr>
        <w:lastRenderedPageBreak/>
        <w:t>進產業轉型升級；同時亦將改善企業大而全的特性，朝向專業化分工的方向發展。從資源密集程度而言，由於此舉亦同時讓服務業企業投資設備有了進貨抵扣效果，提高了此類企業進行設備更新的意願，有助於產業從勞動密集型朝資本密集型發展。整體而言，營改增對產業結構由製造主導轉向更多服務內涵發展，以及向資本密集型產業發展將有所助益。</w:t>
      </w:r>
    </w:p>
    <w:p w:rsidR="006A701C" w:rsidRPr="00032EE2" w:rsidRDefault="00DB0C74" w:rsidP="00032EE2">
      <w:pPr>
        <w:pStyle w:val="a7"/>
      </w:pPr>
      <w:bookmarkStart w:id="38" w:name="_Toc405462610"/>
      <w:r w:rsidRPr="00032EE2">
        <w:rPr>
          <w:rFonts w:hint="eastAsia"/>
        </w:rPr>
        <w:t>表</w:t>
      </w:r>
      <w:r w:rsidRPr="00032EE2">
        <w:t xml:space="preserve">3-1 </w:t>
      </w:r>
      <w:r>
        <w:t xml:space="preserve"> </w:t>
      </w:r>
      <w:r w:rsidRPr="00032EE2">
        <w:rPr>
          <w:rFonts w:hint="eastAsia"/>
        </w:rPr>
        <w:t>營改增政策試點進度表</w:t>
      </w:r>
      <w:bookmarkEnd w:id="38"/>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835"/>
        <w:gridCol w:w="4536"/>
      </w:tblGrid>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時間</w:t>
            </w:r>
          </w:p>
        </w:tc>
        <w:tc>
          <w:tcPr>
            <w:tcW w:w="2835"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實行地點</w:t>
            </w:r>
          </w:p>
        </w:tc>
        <w:tc>
          <w:tcPr>
            <w:tcW w:w="4536"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說明</w:t>
            </w:r>
          </w:p>
        </w:tc>
      </w:tr>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szCs w:val="22"/>
              </w:rPr>
              <w:t>1994</w:t>
            </w:r>
          </w:p>
        </w:tc>
        <w:tc>
          <w:tcPr>
            <w:tcW w:w="2835" w:type="dxa"/>
            <w:vAlign w:val="center"/>
          </w:tcPr>
          <w:p w:rsidR="006A701C" w:rsidRPr="006A701C" w:rsidRDefault="006A701C" w:rsidP="006A701C">
            <w:pPr>
              <w:jc w:val="both"/>
              <w:rPr>
                <w:rFonts w:eastAsia="標楷體"/>
                <w:szCs w:val="22"/>
              </w:rPr>
            </w:pPr>
          </w:p>
        </w:tc>
        <w:tc>
          <w:tcPr>
            <w:tcW w:w="4536"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確立</w:t>
            </w:r>
            <w:r w:rsidRPr="006A701C">
              <w:rPr>
                <w:rFonts w:eastAsia="標楷體"/>
                <w:szCs w:val="22"/>
              </w:rPr>
              <w:t>“</w:t>
            </w:r>
            <w:r w:rsidRPr="006A701C">
              <w:rPr>
                <w:rFonts w:eastAsia="標楷體" w:hAnsi="標楷體" w:hint="eastAsia"/>
                <w:szCs w:val="22"/>
              </w:rPr>
              <w:t>增值稅</w:t>
            </w:r>
            <w:r w:rsidRPr="006A701C">
              <w:rPr>
                <w:rFonts w:eastAsia="標楷體"/>
                <w:szCs w:val="22"/>
              </w:rPr>
              <w:t>”</w:t>
            </w:r>
            <w:r w:rsidRPr="006A701C">
              <w:rPr>
                <w:rFonts w:eastAsia="標楷體" w:hAnsi="標楷體" w:hint="eastAsia"/>
                <w:szCs w:val="22"/>
              </w:rPr>
              <w:t>與</w:t>
            </w:r>
            <w:r w:rsidRPr="006A701C">
              <w:rPr>
                <w:rFonts w:eastAsia="標楷體"/>
                <w:szCs w:val="22"/>
              </w:rPr>
              <w:t>“</w:t>
            </w:r>
            <w:r w:rsidRPr="006A701C">
              <w:rPr>
                <w:rFonts w:eastAsia="標楷體" w:hAnsi="標楷體" w:hint="eastAsia"/>
                <w:szCs w:val="22"/>
              </w:rPr>
              <w:t>營業稅</w:t>
            </w:r>
            <w:r w:rsidRPr="006A701C">
              <w:rPr>
                <w:rFonts w:eastAsia="標楷體"/>
                <w:szCs w:val="22"/>
              </w:rPr>
              <w:t>”</w:t>
            </w:r>
            <w:r w:rsidRPr="006A701C">
              <w:rPr>
                <w:rFonts w:eastAsia="標楷體" w:hAnsi="標楷體" w:hint="eastAsia"/>
                <w:szCs w:val="22"/>
              </w:rPr>
              <w:t>並存</w:t>
            </w:r>
          </w:p>
        </w:tc>
      </w:tr>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szCs w:val="22"/>
              </w:rPr>
              <w:t>2012.1</w:t>
            </w:r>
          </w:p>
        </w:tc>
        <w:tc>
          <w:tcPr>
            <w:tcW w:w="2835"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上海</w:t>
            </w:r>
          </w:p>
        </w:tc>
        <w:tc>
          <w:tcPr>
            <w:tcW w:w="4536"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首個試點城市，在</w:t>
            </w:r>
            <w:r w:rsidRPr="006A701C">
              <w:rPr>
                <w:rFonts w:eastAsia="標楷體" w:hAnsi="標楷體" w:hint="eastAsia"/>
                <w:b/>
                <w:szCs w:val="22"/>
              </w:rPr>
              <w:t>交通運輸業</w:t>
            </w:r>
            <w:r w:rsidRPr="006A701C">
              <w:rPr>
                <w:rFonts w:eastAsia="標楷體" w:hAnsi="標楷體" w:hint="eastAsia"/>
                <w:szCs w:val="22"/>
              </w:rPr>
              <w:t>和</w:t>
            </w:r>
            <w:r w:rsidRPr="006A701C">
              <w:rPr>
                <w:rFonts w:eastAsia="標楷體" w:hAnsi="標楷體" w:hint="eastAsia"/>
                <w:b/>
                <w:szCs w:val="22"/>
              </w:rPr>
              <w:t>部分現代服務業</w:t>
            </w:r>
            <w:r w:rsidRPr="006A701C">
              <w:rPr>
                <w:rFonts w:eastAsia="標楷體"/>
                <w:b/>
                <w:szCs w:val="22"/>
              </w:rPr>
              <w:t>(1+6)</w:t>
            </w:r>
            <w:r w:rsidRPr="006A701C">
              <w:rPr>
                <w:rFonts w:eastAsia="標楷體" w:hAnsi="標楷體" w:hint="eastAsia"/>
                <w:szCs w:val="22"/>
              </w:rPr>
              <w:t>開展營改增試點工作。</w:t>
            </w:r>
          </w:p>
        </w:tc>
      </w:tr>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szCs w:val="22"/>
              </w:rPr>
              <w:t>2012.9</w:t>
            </w:r>
          </w:p>
        </w:tc>
        <w:tc>
          <w:tcPr>
            <w:tcW w:w="2835"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北京市</w:t>
            </w:r>
          </w:p>
        </w:tc>
        <w:tc>
          <w:tcPr>
            <w:tcW w:w="4536" w:type="dxa"/>
            <w:vMerge w:val="restart"/>
            <w:vAlign w:val="center"/>
          </w:tcPr>
          <w:p w:rsidR="006A701C" w:rsidRPr="006A701C" w:rsidRDefault="00DB0C74" w:rsidP="006A701C">
            <w:pPr>
              <w:jc w:val="both"/>
              <w:rPr>
                <w:rFonts w:eastAsia="標楷體"/>
                <w:szCs w:val="22"/>
              </w:rPr>
            </w:pPr>
            <w:r w:rsidRPr="006A701C">
              <w:rPr>
                <w:rFonts w:eastAsia="標楷體" w:hAnsi="標楷體" w:hint="eastAsia"/>
                <w:szCs w:val="22"/>
              </w:rPr>
              <w:t>完成新舊稅制轉換，開始試點實施</w:t>
            </w:r>
          </w:p>
        </w:tc>
      </w:tr>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szCs w:val="22"/>
              </w:rPr>
              <w:t>2012.10</w:t>
            </w:r>
          </w:p>
        </w:tc>
        <w:tc>
          <w:tcPr>
            <w:tcW w:w="2835"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江蘇省、安徽省</w:t>
            </w:r>
          </w:p>
        </w:tc>
        <w:tc>
          <w:tcPr>
            <w:tcW w:w="4536" w:type="dxa"/>
            <w:vMerge/>
            <w:vAlign w:val="center"/>
          </w:tcPr>
          <w:p w:rsidR="006A701C" w:rsidRPr="006A701C" w:rsidRDefault="006A701C" w:rsidP="006A701C">
            <w:pPr>
              <w:jc w:val="both"/>
              <w:rPr>
                <w:rFonts w:eastAsia="標楷體"/>
                <w:szCs w:val="22"/>
              </w:rPr>
            </w:pPr>
          </w:p>
        </w:tc>
      </w:tr>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szCs w:val="22"/>
              </w:rPr>
              <w:t>2012.11</w:t>
            </w:r>
          </w:p>
        </w:tc>
        <w:tc>
          <w:tcPr>
            <w:tcW w:w="2835"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福建省、廣東省</w:t>
            </w:r>
          </w:p>
        </w:tc>
        <w:tc>
          <w:tcPr>
            <w:tcW w:w="4536" w:type="dxa"/>
            <w:vMerge/>
            <w:vAlign w:val="center"/>
          </w:tcPr>
          <w:p w:rsidR="006A701C" w:rsidRPr="006A701C" w:rsidRDefault="006A701C" w:rsidP="006A701C">
            <w:pPr>
              <w:jc w:val="both"/>
              <w:rPr>
                <w:rFonts w:eastAsia="標楷體"/>
                <w:szCs w:val="22"/>
              </w:rPr>
            </w:pPr>
          </w:p>
        </w:tc>
      </w:tr>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szCs w:val="22"/>
              </w:rPr>
              <w:t>2012.12</w:t>
            </w:r>
          </w:p>
        </w:tc>
        <w:tc>
          <w:tcPr>
            <w:tcW w:w="2835"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天津市、浙江省、湖北省</w:t>
            </w:r>
          </w:p>
        </w:tc>
        <w:tc>
          <w:tcPr>
            <w:tcW w:w="4536" w:type="dxa"/>
            <w:vMerge/>
            <w:vAlign w:val="center"/>
          </w:tcPr>
          <w:p w:rsidR="006A701C" w:rsidRPr="006A701C" w:rsidRDefault="006A701C" w:rsidP="006A701C">
            <w:pPr>
              <w:jc w:val="both"/>
              <w:rPr>
                <w:rFonts w:eastAsia="標楷體"/>
                <w:szCs w:val="22"/>
              </w:rPr>
            </w:pPr>
          </w:p>
        </w:tc>
      </w:tr>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szCs w:val="22"/>
              </w:rPr>
              <w:t>2013.8</w:t>
            </w:r>
          </w:p>
        </w:tc>
        <w:tc>
          <w:tcPr>
            <w:tcW w:w="2835"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全國</w:t>
            </w:r>
          </w:p>
        </w:tc>
        <w:tc>
          <w:tcPr>
            <w:tcW w:w="4536"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將交通運輸業和部分現代服務業</w:t>
            </w:r>
            <w:r w:rsidRPr="006A701C">
              <w:rPr>
                <w:rFonts w:eastAsia="標楷體"/>
                <w:szCs w:val="22"/>
              </w:rPr>
              <w:t>“</w:t>
            </w:r>
            <w:r w:rsidRPr="006A701C">
              <w:rPr>
                <w:rFonts w:eastAsia="標楷體" w:hAnsi="標楷體" w:hint="eastAsia"/>
                <w:szCs w:val="22"/>
              </w:rPr>
              <w:t>營改增</w:t>
            </w:r>
            <w:r w:rsidRPr="006A701C">
              <w:rPr>
                <w:rFonts w:eastAsia="標楷體"/>
                <w:szCs w:val="22"/>
              </w:rPr>
              <w:t>”</w:t>
            </w:r>
            <w:r w:rsidRPr="006A701C">
              <w:rPr>
                <w:rFonts w:eastAsia="標楷體" w:hAnsi="標楷體" w:hint="eastAsia"/>
                <w:szCs w:val="22"/>
              </w:rPr>
              <w:t>試點在全國範圍內推開，適當擴大部分現代服務業範圍，將</w:t>
            </w:r>
            <w:r w:rsidRPr="006A701C">
              <w:rPr>
                <w:rFonts w:eastAsia="標楷體" w:hAnsi="標楷體" w:hint="eastAsia"/>
                <w:b/>
                <w:szCs w:val="22"/>
              </w:rPr>
              <w:t>廣播影視作品的製作、播映、發行</w:t>
            </w:r>
            <w:r w:rsidRPr="006A701C">
              <w:rPr>
                <w:rFonts w:eastAsia="標楷體" w:hAnsi="標楷體" w:hint="eastAsia"/>
                <w:szCs w:val="22"/>
              </w:rPr>
              <w:t>等納入試點，也將將</w:t>
            </w:r>
            <w:r w:rsidRPr="006A701C">
              <w:rPr>
                <w:rFonts w:eastAsia="標楷體" w:hAnsi="標楷體" w:hint="eastAsia"/>
                <w:b/>
                <w:szCs w:val="22"/>
              </w:rPr>
              <w:t>鐵路運輸和郵電通信</w:t>
            </w:r>
            <w:r w:rsidRPr="006A701C">
              <w:rPr>
                <w:rFonts w:eastAsia="標楷體" w:hAnsi="標楷體" w:hint="eastAsia"/>
                <w:szCs w:val="22"/>
              </w:rPr>
              <w:t>等行業納入試點。</w:t>
            </w:r>
          </w:p>
        </w:tc>
      </w:tr>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szCs w:val="22"/>
              </w:rPr>
              <w:t>2014.1</w:t>
            </w:r>
          </w:p>
        </w:tc>
        <w:tc>
          <w:tcPr>
            <w:tcW w:w="2835"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全國</w:t>
            </w:r>
          </w:p>
        </w:tc>
        <w:tc>
          <w:tcPr>
            <w:tcW w:w="4536"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鐵路運輸和郵政業等行業全面實施</w:t>
            </w:r>
          </w:p>
        </w:tc>
      </w:tr>
      <w:tr w:rsidR="006A701C" w:rsidRPr="006A701C" w:rsidTr="007B2AC6">
        <w:tc>
          <w:tcPr>
            <w:tcW w:w="1413" w:type="dxa"/>
            <w:vAlign w:val="center"/>
          </w:tcPr>
          <w:p w:rsidR="006A701C" w:rsidRPr="006A701C" w:rsidRDefault="00DB0C74" w:rsidP="006A701C">
            <w:pPr>
              <w:jc w:val="both"/>
              <w:rPr>
                <w:rFonts w:eastAsia="標楷體"/>
                <w:szCs w:val="22"/>
              </w:rPr>
            </w:pPr>
            <w:r w:rsidRPr="006A701C">
              <w:rPr>
                <w:rFonts w:eastAsia="標楷體"/>
                <w:szCs w:val="22"/>
              </w:rPr>
              <w:t>2014.6</w:t>
            </w:r>
          </w:p>
        </w:tc>
        <w:tc>
          <w:tcPr>
            <w:tcW w:w="2835"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全國</w:t>
            </w:r>
          </w:p>
        </w:tc>
        <w:tc>
          <w:tcPr>
            <w:tcW w:w="4536" w:type="dxa"/>
            <w:vAlign w:val="center"/>
          </w:tcPr>
          <w:p w:rsidR="006A701C" w:rsidRPr="006A701C" w:rsidRDefault="00DB0C74" w:rsidP="006A701C">
            <w:pPr>
              <w:jc w:val="both"/>
              <w:rPr>
                <w:rFonts w:eastAsia="標楷體"/>
                <w:szCs w:val="22"/>
              </w:rPr>
            </w:pPr>
            <w:r w:rsidRPr="006A701C">
              <w:rPr>
                <w:rFonts w:eastAsia="標楷體" w:hAnsi="標楷體" w:hint="eastAsia"/>
                <w:szCs w:val="22"/>
              </w:rPr>
              <w:t>電信業</w:t>
            </w:r>
          </w:p>
        </w:tc>
      </w:tr>
    </w:tbl>
    <w:p w:rsidR="006A701C" w:rsidRPr="006A701C" w:rsidRDefault="00DB0C74" w:rsidP="006A701C">
      <w:pPr>
        <w:spacing w:line="360" w:lineRule="auto"/>
        <w:rPr>
          <w:rFonts w:ascii="標楷體" w:eastAsia="標楷體" w:hAnsi="標楷體"/>
          <w:sz w:val="20"/>
          <w:szCs w:val="20"/>
        </w:rPr>
      </w:pPr>
      <w:r w:rsidRPr="006A701C">
        <w:rPr>
          <w:rFonts w:ascii="標楷體" w:eastAsia="標楷體" w:hAnsi="標楷體" w:hint="eastAsia"/>
          <w:sz w:val="20"/>
          <w:szCs w:val="20"/>
        </w:rPr>
        <w:t>資料來源</w:t>
      </w:r>
      <w:r w:rsidRPr="006A701C">
        <w:rPr>
          <w:rFonts w:ascii="標楷體" w:eastAsia="標楷體" w:hAnsi="標楷體"/>
          <w:sz w:val="20"/>
          <w:szCs w:val="20"/>
        </w:rPr>
        <w:t xml:space="preserve">: </w:t>
      </w:r>
      <w:r w:rsidRPr="006A701C">
        <w:rPr>
          <w:rFonts w:ascii="標楷體" w:eastAsia="標楷體" w:hAnsi="標楷體" w:hint="eastAsia"/>
          <w:sz w:val="20"/>
          <w:szCs w:val="20"/>
        </w:rPr>
        <w:t>《營業稅改徵增值稅試點方案》及其後續通知文件；本研究整理。</w:t>
      </w:r>
    </w:p>
    <w:p w:rsidR="00A05667"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表</w:t>
      </w:r>
      <w:r w:rsidRPr="006A701C">
        <w:rPr>
          <w:rFonts w:eastAsia="標楷體"/>
          <w:sz w:val="26"/>
        </w:rPr>
        <w:t>3-1</w:t>
      </w:r>
      <w:r w:rsidRPr="006A701C">
        <w:rPr>
          <w:rFonts w:eastAsia="標楷體" w:hint="eastAsia"/>
          <w:sz w:val="26"/>
        </w:rPr>
        <w:t>整理營改增推動過程之重要時間點。自</w:t>
      </w:r>
      <w:r w:rsidRPr="006A701C">
        <w:rPr>
          <w:rFonts w:eastAsia="標楷體"/>
          <w:sz w:val="26"/>
        </w:rPr>
        <w:t>1994</w:t>
      </w:r>
      <w:r w:rsidRPr="006A701C">
        <w:rPr>
          <w:rFonts w:eastAsia="標楷體" w:hint="eastAsia"/>
          <w:sz w:val="26"/>
        </w:rPr>
        <w:t>年中國大陸工商稅制改革確立增值稅與營業稅並存後，各界不斷陸續討論將營業稅改為增值稅之可能，但其中牽涉的面向過於繁雜，因而遲遲沒有動作。</w:t>
      </w:r>
      <w:r w:rsidRPr="006A701C">
        <w:rPr>
          <w:rFonts w:eastAsia="標楷體"/>
          <w:sz w:val="26"/>
        </w:rPr>
        <w:t>2011</w:t>
      </w:r>
      <w:r w:rsidRPr="006A701C">
        <w:rPr>
          <w:rFonts w:eastAsia="標楷體" w:hint="eastAsia"/>
          <w:sz w:val="26"/>
        </w:rPr>
        <w:t>年，中國大陸財政部首先頒布《營業稅改徵增值稅試點方案》，產學界又開起一波對稅制改革之討論。</w:t>
      </w:r>
      <w:r w:rsidRPr="006A701C">
        <w:rPr>
          <w:rFonts w:eastAsia="標楷體"/>
          <w:sz w:val="26"/>
        </w:rPr>
        <w:t>2012</w:t>
      </w:r>
      <w:r w:rsidRPr="006A701C">
        <w:rPr>
          <w:rFonts w:eastAsia="標楷體" w:hint="eastAsia"/>
          <w:sz w:val="26"/>
        </w:rPr>
        <w:t>年</w:t>
      </w:r>
      <w:r w:rsidRPr="006A701C">
        <w:rPr>
          <w:rFonts w:eastAsia="標楷體"/>
          <w:sz w:val="26"/>
        </w:rPr>
        <w:t>1</w:t>
      </w:r>
      <w:r w:rsidRPr="006A701C">
        <w:rPr>
          <w:rFonts w:eastAsia="標楷體" w:hint="eastAsia"/>
          <w:sz w:val="26"/>
        </w:rPr>
        <w:t>月，營業稅改增值稅政策正式在上海開始實施試點，先藉由小範圍的試點去觀察營改增的利弊與其影響。實施之初僅包含大</w:t>
      </w:r>
      <w:r w:rsidR="0035101D">
        <w:rPr>
          <w:rFonts w:eastAsia="標楷體" w:hint="eastAsia"/>
          <w:sz w:val="26"/>
        </w:rPr>
        <w:t>部分</w:t>
      </w:r>
      <w:r w:rsidRPr="006A701C">
        <w:rPr>
          <w:rFonts w:eastAsia="標楷體" w:hint="eastAsia"/>
          <w:sz w:val="26"/>
        </w:rPr>
        <w:t>的交通運輸業與部分現代服務業（詳細產業與其定義請見</w:t>
      </w:r>
      <w:r w:rsidRPr="006A701C">
        <w:rPr>
          <w:rFonts w:eastAsia="標楷體"/>
          <w:sz w:val="26"/>
        </w:rPr>
        <w:t xml:space="preserve"> </w:t>
      </w:r>
      <w:r w:rsidRPr="006A701C">
        <w:rPr>
          <w:rFonts w:eastAsia="標楷體" w:hint="eastAsia"/>
          <w:sz w:val="26"/>
        </w:rPr>
        <w:t>下一小節）。</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sz w:val="26"/>
        </w:rPr>
        <w:lastRenderedPageBreak/>
        <w:t>2012</w:t>
      </w:r>
      <w:r w:rsidRPr="006A701C">
        <w:rPr>
          <w:rFonts w:eastAsia="標楷體" w:hint="eastAsia"/>
          <w:sz w:val="26"/>
        </w:rPr>
        <w:t>年</w:t>
      </w:r>
      <w:r w:rsidRPr="006A701C">
        <w:rPr>
          <w:rFonts w:eastAsia="標楷體"/>
          <w:sz w:val="26"/>
        </w:rPr>
        <w:t>7</w:t>
      </w:r>
      <w:r w:rsidRPr="006A701C">
        <w:rPr>
          <w:rFonts w:eastAsia="標楷體" w:hint="eastAsia"/>
          <w:sz w:val="26"/>
        </w:rPr>
        <w:t>月，</w:t>
      </w:r>
      <w:r w:rsidR="00F468EE">
        <w:rPr>
          <w:rFonts w:eastAsia="標楷體" w:hint="eastAsia"/>
          <w:sz w:val="26"/>
        </w:rPr>
        <w:t>中國大陸國務院</w:t>
      </w:r>
      <w:r w:rsidRPr="006A701C">
        <w:rPr>
          <w:rFonts w:eastAsia="標楷體" w:hint="eastAsia"/>
          <w:sz w:val="26"/>
        </w:rPr>
        <w:t>常務會議決定擴大營改增試點實施由上海擴大至其他八省市，其中北京市自</w:t>
      </w:r>
      <w:r w:rsidRPr="006A701C">
        <w:rPr>
          <w:rFonts w:eastAsia="標楷體"/>
          <w:sz w:val="26"/>
        </w:rPr>
        <w:t>9</w:t>
      </w:r>
      <w:r w:rsidRPr="006A701C">
        <w:rPr>
          <w:rFonts w:eastAsia="標楷體" w:hint="eastAsia"/>
          <w:sz w:val="26"/>
        </w:rPr>
        <w:t>月、江蘇省、安徽省自</w:t>
      </w:r>
      <w:r w:rsidRPr="006A701C">
        <w:rPr>
          <w:rFonts w:eastAsia="標楷體"/>
          <w:sz w:val="26"/>
        </w:rPr>
        <w:t>10</w:t>
      </w:r>
      <w:r w:rsidRPr="006A701C">
        <w:rPr>
          <w:rFonts w:eastAsia="標楷體" w:hint="eastAsia"/>
          <w:sz w:val="26"/>
        </w:rPr>
        <w:t>月、福建、廣東兩省自</w:t>
      </w:r>
      <w:r w:rsidRPr="006A701C">
        <w:rPr>
          <w:rFonts w:eastAsia="標楷體"/>
          <w:sz w:val="26"/>
        </w:rPr>
        <w:t>11</w:t>
      </w:r>
      <w:r w:rsidRPr="006A701C">
        <w:rPr>
          <w:rFonts w:eastAsia="標楷體" w:hint="eastAsia"/>
          <w:sz w:val="26"/>
        </w:rPr>
        <w:t>月、天津市、浙江省、湖北省等則是自</w:t>
      </w:r>
      <w:r w:rsidRPr="006A701C">
        <w:rPr>
          <w:rFonts w:eastAsia="標楷體"/>
          <w:sz w:val="26"/>
        </w:rPr>
        <w:t>12</w:t>
      </w:r>
      <w:r w:rsidRPr="006A701C">
        <w:rPr>
          <w:rFonts w:eastAsia="標楷體" w:hint="eastAsia"/>
          <w:sz w:val="26"/>
        </w:rPr>
        <w:t>月開始，正式開始實施同樣範圍的營改增試點工作。</w:t>
      </w:r>
      <w:r w:rsidR="006A701C" w:rsidRPr="006A701C">
        <w:rPr>
          <w:rFonts w:eastAsia="標楷體"/>
          <w:sz w:val="26"/>
        </w:rPr>
        <w:t xml:space="preserve"> </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從營改增在上海試點以來，改革推進的速度遠較市場預期為快，其他未實施的省份與行業皆表示希望能盡早納入推行範圍，以利不同地區與行業間稅制的一致。因此，</w:t>
      </w:r>
      <w:r w:rsidR="00F468EE">
        <w:rPr>
          <w:rFonts w:eastAsia="標楷體" w:hint="eastAsia"/>
          <w:sz w:val="26"/>
        </w:rPr>
        <w:t>中國大陸國務院</w:t>
      </w:r>
      <w:r w:rsidR="0090432D">
        <w:rPr>
          <w:rFonts w:eastAsia="標楷體" w:hint="eastAsia"/>
          <w:sz w:val="26"/>
        </w:rPr>
        <w:t>發布</w:t>
      </w:r>
      <w:r w:rsidRPr="006A701C">
        <w:rPr>
          <w:rFonts w:eastAsia="標楷體" w:hint="eastAsia"/>
          <w:sz w:val="26"/>
        </w:rPr>
        <w:t>《關於在全國開展交通運輸業和部分現代服務業營業稅改徵增值稅試點稅收政策的通知》，決定於</w:t>
      </w:r>
      <w:r w:rsidRPr="006A701C">
        <w:rPr>
          <w:rFonts w:eastAsia="標楷體"/>
          <w:sz w:val="26"/>
        </w:rPr>
        <w:t>2013</w:t>
      </w:r>
      <w:r w:rsidRPr="006A701C">
        <w:rPr>
          <w:rFonts w:eastAsia="標楷體" w:hint="eastAsia"/>
          <w:sz w:val="26"/>
        </w:rPr>
        <w:t>年</w:t>
      </w:r>
      <w:r w:rsidRPr="006A701C">
        <w:rPr>
          <w:rFonts w:eastAsia="標楷體"/>
          <w:sz w:val="26"/>
        </w:rPr>
        <w:t>8</w:t>
      </w:r>
      <w:r w:rsidRPr="006A701C">
        <w:rPr>
          <w:rFonts w:eastAsia="標楷體" w:hint="eastAsia"/>
          <w:sz w:val="26"/>
        </w:rPr>
        <w:t>月將營改增試點擴展到全國範圍，同時納入廣播影視業。自此，營改增開始由地區的擴張轉向行業的擴大。</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C74F59">
        <w:rPr>
          <w:rFonts w:eastAsia="標楷體"/>
          <w:sz w:val="26"/>
        </w:rPr>
        <w:t>2013</w:t>
      </w:r>
      <w:r w:rsidRPr="00C74F59">
        <w:rPr>
          <w:rFonts w:eastAsia="標楷體" w:hint="eastAsia"/>
          <w:sz w:val="26"/>
        </w:rPr>
        <w:t>年底，中國</w:t>
      </w:r>
      <w:r w:rsidR="005F5D55" w:rsidRPr="00C74F59">
        <w:rPr>
          <w:rFonts w:eastAsia="標楷體" w:hint="eastAsia"/>
          <w:sz w:val="26"/>
        </w:rPr>
        <w:t>大陸</w:t>
      </w:r>
      <w:r w:rsidRPr="00C74F59">
        <w:rPr>
          <w:rFonts w:eastAsia="標楷體" w:hint="eastAsia"/>
          <w:sz w:val="26"/>
        </w:rPr>
        <w:t>國家稅務</w:t>
      </w:r>
      <w:r w:rsidR="004C158C" w:rsidRPr="00C74F59">
        <w:rPr>
          <w:rFonts w:eastAsia="標楷體" w:hint="eastAsia"/>
          <w:sz w:val="26"/>
        </w:rPr>
        <w:t>總</w:t>
      </w:r>
      <w:r w:rsidRPr="00C74F59">
        <w:rPr>
          <w:rFonts w:eastAsia="標楷體" w:hint="eastAsia"/>
          <w:sz w:val="26"/>
        </w:rPr>
        <w:t>局發布《關於將鐵路運輸和郵政業納</w:t>
      </w:r>
      <w:r w:rsidRPr="006A701C">
        <w:rPr>
          <w:rFonts w:eastAsia="標楷體" w:hint="eastAsia"/>
          <w:sz w:val="26"/>
        </w:rPr>
        <w:t>入營業稅改徵增值稅試點的通知》。</w:t>
      </w:r>
      <w:r w:rsidRPr="006A701C">
        <w:rPr>
          <w:rFonts w:eastAsia="標楷體"/>
          <w:sz w:val="26"/>
        </w:rPr>
        <w:t>2014</w:t>
      </w:r>
      <w:r w:rsidRPr="006A701C">
        <w:rPr>
          <w:rFonts w:eastAsia="標楷體" w:hint="eastAsia"/>
          <w:sz w:val="26"/>
        </w:rPr>
        <w:t>年</w:t>
      </w:r>
      <w:r w:rsidRPr="006A701C">
        <w:rPr>
          <w:rFonts w:eastAsia="標楷體"/>
          <w:sz w:val="26"/>
        </w:rPr>
        <w:t>1</w:t>
      </w:r>
      <w:r w:rsidRPr="006A701C">
        <w:rPr>
          <w:rFonts w:eastAsia="標楷體" w:hint="eastAsia"/>
          <w:sz w:val="26"/>
        </w:rPr>
        <w:t>月，正式將鐵路運輸與郵政業加入營改增之全國試點，其中鐵路運輸為先前交通運輸業中尚未納入之一環。鐵路運輸行業的分支機構較多，系統較為複雜，若僅就部分地區試推行將不具任何意義而徒增困擾，因此直到此時才加入全國範圍的營改增試點。</w:t>
      </w:r>
      <w:r w:rsidRPr="006A701C">
        <w:rPr>
          <w:rFonts w:eastAsia="標楷體"/>
          <w:sz w:val="26"/>
        </w:rPr>
        <w:t>2014</w:t>
      </w:r>
      <w:r w:rsidRPr="006A701C">
        <w:rPr>
          <w:rFonts w:eastAsia="標楷體" w:hint="eastAsia"/>
          <w:sz w:val="26"/>
        </w:rPr>
        <w:t>年</w:t>
      </w:r>
      <w:r w:rsidRPr="006A701C">
        <w:rPr>
          <w:rFonts w:eastAsia="標楷體"/>
          <w:sz w:val="26"/>
        </w:rPr>
        <w:t>6</w:t>
      </w:r>
      <w:r w:rsidRPr="006A701C">
        <w:rPr>
          <w:rFonts w:eastAsia="標楷體" w:hint="eastAsia"/>
          <w:sz w:val="26"/>
        </w:rPr>
        <w:t>月，電信業也加入營改增的行業隊伍之中。至此，半數的服務業皆已納入增值稅體系與其他產業相銜接，而尚未改徵增值稅的建築、金融、與生活性服務業等，中國大陸財政部也正積極進行評估之中。</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sz w:val="26"/>
        </w:rPr>
        <w:t>2014</w:t>
      </w:r>
      <w:r w:rsidRPr="006A701C">
        <w:rPr>
          <w:rFonts w:eastAsia="標楷體" w:hint="eastAsia"/>
          <w:sz w:val="26"/>
        </w:rPr>
        <w:t>年</w:t>
      </w:r>
      <w:r w:rsidRPr="006A701C">
        <w:rPr>
          <w:rFonts w:eastAsia="標楷體"/>
          <w:sz w:val="26"/>
        </w:rPr>
        <w:t>7</w:t>
      </w:r>
      <w:r w:rsidRPr="006A701C">
        <w:rPr>
          <w:rFonts w:eastAsia="標楷體" w:hint="eastAsia"/>
          <w:sz w:val="26"/>
        </w:rPr>
        <w:t>月，</w:t>
      </w:r>
      <w:r w:rsidR="00EE24EE">
        <w:rPr>
          <w:rFonts w:eastAsia="標楷體" w:hint="eastAsia"/>
          <w:sz w:val="26"/>
        </w:rPr>
        <w:t>中國大陸國家發改委</w:t>
      </w:r>
      <w:r w:rsidRPr="006A701C">
        <w:rPr>
          <w:rFonts w:eastAsia="標楷體" w:hint="eastAsia"/>
          <w:sz w:val="26"/>
        </w:rPr>
        <w:t>發布《國務院關於加快發展生產性服務業促進產業結構調整升級的指導意見》（以下簡稱《意見》</w:t>
      </w:r>
      <w:r w:rsidRPr="006A701C">
        <w:rPr>
          <w:rFonts w:eastAsia="標楷體"/>
          <w:sz w:val="26"/>
        </w:rPr>
        <w:t>)</w:t>
      </w:r>
      <w:r w:rsidRPr="006A701C">
        <w:rPr>
          <w:rFonts w:eastAsia="標楷體" w:hint="eastAsia"/>
          <w:sz w:val="26"/>
        </w:rPr>
        <w:t>，《意見》中指出將完善財稅政策，儘快將營改增試點擴大到服務業全</w:t>
      </w:r>
      <w:hyperlink r:id="rId22" w:tgtFrame="_blank" w:tooltip="领域" w:history="1">
        <w:r w:rsidRPr="006A701C">
          <w:rPr>
            <w:rFonts w:eastAsia="標楷體" w:hint="eastAsia"/>
            <w:sz w:val="26"/>
          </w:rPr>
          <w:t>領域</w:t>
        </w:r>
      </w:hyperlink>
      <w:r w:rsidRPr="006A701C">
        <w:rPr>
          <w:rFonts w:eastAsia="標楷體" w:hint="eastAsia"/>
          <w:sz w:val="26"/>
        </w:rPr>
        <w:t>，推動建立統一開放、規範競爭的服務業市場體系</w:t>
      </w:r>
      <w:r w:rsidR="00C47671" w:rsidRPr="006A701C">
        <w:rPr>
          <w:rFonts w:eastAsia="標楷體"/>
          <w:sz w:val="26"/>
          <w:vertAlign w:val="superscript"/>
        </w:rPr>
        <w:footnoteReference w:id="7"/>
      </w:r>
      <w:r w:rsidRPr="006A701C">
        <w:rPr>
          <w:rFonts w:eastAsia="標楷體" w:hint="eastAsia"/>
          <w:sz w:val="26"/>
        </w:rPr>
        <w:t>。</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我們可將上述擴點（擴大試點地區）與擴圍（擴大行業）的過程由下圖示意之。此推動過程採漸進式，最初由少量產業於上海試點，而後擴展</w:t>
      </w:r>
      <w:r w:rsidRPr="006A701C">
        <w:rPr>
          <w:rFonts w:eastAsia="標楷體" w:hint="eastAsia"/>
          <w:sz w:val="26"/>
        </w:rPr>
        <w:lastRenderedPageBreak/>
        <w:t>到上海與其他八省市，並於</w:t>
      </w:r>
      <w:r w:rsidRPr="006A701C">
        <w:rPr>
          <w:rFonts w:eastAsia="標楷體"/>
          <w:sz w:val="26"/>
        </w:rPr>
        <w:t>2013</w:t>
      </w:r>
      <w:r w:rsidRPr="006A701C">
        <w:rPr>
          <w:rFonts w:eastAsia="標楷體" w:hint="eastAsia"/>
          <w:sz w:val="26"/>
        </w:rPr>
        <w:t>年</w:t>
      </w:r>
      <w:r w:rsidRPr="006A701C">
        <w:rPr>
          <w:rFonts w:eastAsia="標楷體"/>
          <w:sz w:val="26"/>
        </w:rPr>
        <w:t>8</w:t>
      </w:r>
      <w:r w:rsidRPr="006A701C">
        <w:rPr>
          <w:rFonts w:eastAsia="標楷體" w:hint="eastAsia"/>
          <w:sz w:val="26"/>
        </w:rPr>
        <w:t>月後推行於全國，並持續將其他產業納入營改增。</w:t>
      </w:r>
    </w:p>
    <w:tbl>
      <w:tblPr>
        <w:tblW w:w="9335" w:type="dxa"/>
        <w:tblInd w:w="-318" w:type="dxa"/>
        <w:tblLayout w:type="fixed"/>
        <w:tblLook w:val="00A0" w:firstRow="1" w:lastRow="0" w:firstColumn="1" w:lastColumn="0" w:noHBand="0" w:noVBand="0"/>
      </w:tblPr>
      <w:tblGrid>
        <w:gridCol w:w="675"/>
        <w:gridCol w:w="1276"/>
        <w:gridCol w:w="142"/>
        <w:gridCol w:w="236"/>
        <w:gridCol w:w="1073"/>
        <w:gridCol w:w="426"/>
        <w:gridCol w:w="1417"/>
        <w:gridCol w:w="567"/>
        <w:gridCol w:w="567"/>
        <w:gridCol w:w="410"/>
        <w:gridCol w:w="866"/>
        <w:gridCol w:w="283"/>
        <w:gridCol w:w="236"/>
        <w:gridCol w:w="925"/>
        <w:gridCol w:w="180"/>
        <w:gridCol w:w="43"/>
        <w:gridCol w:w="13"/>
      </w:tblGrid>
      <w:tr w:rsidR="006A701C" w:rsidRPr="00923286" w:rsidTr="007B1FB6">
        <w:tc>
          <w:tcPr>
            <w:tcW w:w="675" w:type="dxa"/>
          </w:tcPr>
          <w:p w:rsidR="006A701C" w:rsidRPr="00923286" w:rsidRDefault="006A701C" w:rsidP="007B2AC6">
            <w:pPr>
              <w:rPr>
                <w:rFonts w:ascii="標楷體" w:eastAsia="標楷體" w:hAnsi="標楷體"/>
                <w:b/>
                <w:kern w:val="0"/>
              </w:rPr>
            </w:pPr>
          </w:p>
        </w:tc>
        <w:tc>
          <w:tcPr>
            <w:tcW w:w="1276" w:type="dxa"/>
          </w:tcPr>
          <w:p w:rsidR="006A701C" w:rsidRPr="00923286" w:rsidRDefault="006A701C" w:rsidP="007B2AC6">
            <w:pPr>
              <w:rPr>
                <w:rFonts w:ascii="標楷體" w:eastAsia="標楷體" w:hAnsi="標楷體"/>
                <w:b/>
                <w:kern w:val="0"/>
              </w:rPr>
            </w:pPr>
          </w:p>
        </w:tc>
        <w:tc>
          <w:tcPr>
            <w:tcW w:w="1451" w:type="dxa"/>
            <w:gridSpan w:val="3"/>
          </w:tcPr>
          <w:p w:rsidR="006A701C" w:rsidRPr="00F74D2C" w:rsidRDefault="00DB0C74" w:rsidP="007B2AC6">
            <w:pPr>
              <w:rPr>
                <w:rFonts w:eastAsia="標楷體"/>
                <w:b/>
                <w:kern w:val="0"/>
              </w:rPr>
            </w:pPr>
            <w:r w:rsidRPr="00F74D2C">
              <w:rPr>
                <w:rFonts w:eastAsia="標楷體"/>
                <w:b/>
                <w:kern w:val="0"/>
              </w:rPr>
              <w:t>2012.1</w:t>
            </w:r>
          </w:p>
        </w:tc>
        <w:tc>
          <w:tcPr>
            <w:tcW w:w="1843" w:type="dxa"/>
            <w:gridSpan w:val="2"/>
          </w:tcPr>
          <w:p w:rsidR="006A701C" w:rsidRPr="00F74D2C" w:rsidRDefault="00DB0C74" w:rsidP="007B2AC6">
            <w:pPr>
              <w:rPr>
                <w:rFonts w:eastAsia="標楷體"/>
                <w:b/>
                <w:kern w:val="0"/>
              </w:rPr>
            </w:pPr>
            <w:r w:rsidRPr="00F74D2C">
              <w:rPr>
                <w:rFonts w:eastAsia="標楷體"/>
                <w:b/>
                <w:kern w:val="0"/>
              </w:rPr>
              <w:t>2012.9</w:t>
            </w:r>
          </w:p>
        </w:tc>
        <w:tc>
          <w:tcPr>
            <w:tcW w:w="1134" w:type="dxa"/>
            <w:gridSpan w:val="2"/>
          </w:tcPr>
          <w:p w:rsidR="006A701C" w:rsidRPr="00F74D2C" w:rsidRDefault="00DB0C74" w:rsidP="007B2AC6">
            <w:pPr>
              <w:rPr>
                <w:rFonts w:eastAsia="標楷體"/>
                <w:b/>
                <w:kern w:val="0"/>
              </w:rPr>
            </w:pPr>
            <w:r w:rsidRPr="00F74D2C">
              <w:rPr>
                <w:rFonts w:eastAsia="標楷體"/>
                <w:b/>
                <w:kern w:val="0"/>
              </w:rPr>
              <w:t>2013.8</w:t>
            </w:r>
          </w:p>
        </w:tc>
        <w:tc>
          <w:tcPr>
            <w:tcW w:w="1276" w:type="dxa"/>
            <w:gridSpan w:val="2"/>
          </w:tcPr>
          <w:p w:rsidR="006A701C" w:rsidRPr="00F74D2C" w:rsidRDefault="00DB0C74" w:rsidP="007B2AC6">
            <w:pPr>
              <w:rPr>
                <w:rFonts w:eastAsia="標楷體"/>
                <w:b/>
                <w:kern w:val="0"/>
              </w:rPr>
            </w:pPr>
            <w:r w:rsidRPr="00F74D2C">
              <w:rPr>
                <w:rFonts w:eastAsia="標楷體"/>
                <w:b/>
                <w:kern w:val="0"/>
              </w:rPr>
              <w:t>2014.1</w:t>
            </w:r>
          </w:p>
        </w:tc>
        <w:tc>
          <w:tcPr>
            <w:tcW w:w="1444" w:type="dxa"/>
            <w:gridSpan w:val="3"/>
          </w:tcPr>
          <w:p w:rsidR="006A701C" w:rsidRPr="00F74D2C" w:rsidRDefault="00DB0C74" w:rsidP="007B2AC6">
            <w:pPr>
              <w:rPr>
                <w:rFonts w:eastAsia="標楷體"/>
                <w:b/>
                <w:kern w:val="0"/>
              </w:rPr>
            </w:pPr>
            <w:r w:rsidRPr="00F74D2C">
              <w:rPr>
                <w:rFonts w:eastAsia="標楷體"/>
                <w:b/>
                <w:kern w:val="0"/>
              </w:rPr>
              <w:t>2014.6</w:t>
            </w:r>
          </w:p>
        </w:tc>
        <w:tc>
          <w:tcPr>
            <w:tcW w:w="236" w:type="dxa"/>
            <w:gridSpan w:val="3"/>
          </w:tcPr>
          <w:p w:rsidR="006A701C" w:rsidRPr="00F74D2C" w:rsidRDefault="006A701C" w:rsidP="007B2AC6">
            <w:pPr>
              <w:rPr>
                <w:rFonts w:eastAsia="標楷體"/>
                <w:b/>
                <w:kern w:val="0"/>
              </w:rPr>
            </w:pPr>
          </w:p>
        </w:tc>
      </w:tr>
      <w:tr w:rsidR="006A701C" w:rsidRPr="00F74D2C" w:rsidTr="007B1FB6">
        <w:trPr>
          <w:gridAfter w:val="2"/>
          <w:wAfter w:w="56" w:type="dxa"/>
        </w:trPr>
        <w:tc>
          <w:tcPr>
            <w:tcW w:w="2093" w:type="dxa"/>
            <w:gridSpan w:val="3"/>
          </w:tcPr>
          <w:p w:rsidR="006A701C" w:rsidRPr="00F74D2C" w:rsidRDefault="006A701C" w:rsidP="007B2AC6">
            <w:pPr>
              <w:rPr>
                <w:rFonts w:eastAsia="標楷體"/>
                <w:kern w:val="0"/>
              </w:rPr>
            </w:pPr>
          </w:p>
        </w:tc>
        <w:tc>
          <w:tcPr>
            <w:tcW w:w="236" w:type="dxa"/>
            <w:tcBorders>
              <w:right w:val="single" w:sz="4" w:space="0" w:color="FF0000"/>
            </w:tcBorders>
          </w:tcPr>
          <w:p w:rsidR="006A701C" w:rsidRPr="00F74D2C" w:rsidRDefault="006A701C" w:rsidP="007B2AC6">
            <w:pPr>
              <w:rPr>
                <w:rFonts w:eastAsia="標楷體"/>
                <w:kern w:val="0"/>
              </w:rPr>
            </w:pPr>
          </w:p>
        </w:tc>
        <w:tc>
          <w:tcPr>
            <w:tcW w:w="1499" w:type="dxa"/>
            <w:gridSpan w:val="2"/>
            <w:tcBorders>
              <w:left w:val="single" w:sz="4" w:space="0" w:color="FF0000"/>
              <w:right w:val="single" w:sz="4" w:space="0" w:color="FF0000"/>
            </w:tcBorders>
          </w:tcPr>
          <w:p w:rsidR="006A701C" w:rsidRPr="00F74D2C" w:rsidRDefault="006A701C" w:rsidP="007B2AC6">
            <w:pPr>
              <w:rPr>
                <w:rFonts w:eastAsia="標楷體"/>
                <w:kern w:val="0"/>
              </w:rPr>
            </w:pPr>
          </w:p>
        </w:tc>
        <w:tc>
          <w:tcPr>
            <w:tcW w:w="1984" w:type="dxa"/>
            <w:gridSpan w:val="2"/>
            <w:tcBorders>
              <w:left w:val="single" w:sz="4" w:space="0" w:color="FF0000"/>
              <w:right w:val="single" w:sz="4" w:space="0" w:color="FF0000"/>
            </w:tcBorders>
          </w:tcPr>
          <w:p w:rsidR="006A701C" w:rsidRPr="00F74D2C" w:rsidRDefault="006A701C" w:rsidP="007B2AC6">
            <w:pPr>
              <w:rPr>
                <w:rFonts w:eastAsia="標楷體"/>
                <w:kern w:val="0"/>
              </w:rPr>
            </w:pPr>
          </w:p>
        </w:tc>
        <w:tc>
          <w:tcPr>
            <w:tcW w:w="977" w:type="dxa"/>
            <w:gridSpan w:val="2"/>
            <w:tcBorders>
              <w:left w:val="single" w:sz="4" w:space="0" w:color="FF0000"/>
              <w:right w:val="single" w:sz="4" w:space="0" w:color="FF0000"/>
            </w:tcBorders>
          </w:tcPr>
          <w:p w:rsidR="006A701C" w:rsidRPr="00F74D2C" w:rsidRDefault="006A701C" w:rsidP="007B2AC6">
            <w:pPr>
              <w:rPr>
                <w:rFonts w:eastAsia="標楷體"/>
                <w:kern w:val="0"/>
              </w:rPr>
            </w:pPr>
          </w:p>
        </w:tc>
        <w:tc>
          <w:tcPr>
            <w:tcW w:w="1149" w:type="dxa"/>
            <w:gridSpan w:val="2"/>
            <w:tcBorders>
              <w:left w:val="single" w:sz="4" w:space="0" w:color="FF0000"/>
              <w:right w:val="single" w:sz="4" w:space="0" w:color="FF0000"/>
            </w:tcBorders>
          </w:tcPr>
          <w:p w:rsidR="006A701C" w:rsidRPr="00F74D2C" w:rsidRDefault="006A701C" w:rsidP="007B2AC6">
            <w:pPr>
              <w:rPr>
                <w:rFonts w:eastAsia="標楷體"/>
                <w:kern w:val="0"/>
              </w:rPr>
            </w:pPr>
          </w:p>
        </w:tc>
        <w:tc>
          <w:tcPr>
            <w:tcW w:w="236" w:type="dxa"/>
            <w:tcBorders>
              <w:left w:val="single" w:sz="4" w:space="0" w:color="FF0000"/>
            </w:tcBorders>
          </w:tcPr>
          <w:p w:rsidR="006A701C" w:rsidRPr="00F74D2C" w:rsidRDefault="006A701C" w:rsidP="007B2AC6">
            <w:pPr>
              <w:rPr>
                <w:rFonts w:eastAsia="標楷體"/>
                <w:kern w:val="0"/>
              </w:rPr>
            </w:pPr>
          </w:p>
        </w:tc>
        <w:tc>
          <w:tcPr>
            <w:tcW w:w="1105" w:type="dxa"/>
            <w:gridSpan w:val="2"/>
          </w:tcPr>
          <w:p w:rsidR="006A701C" w:rsidRPr="00F74D2C" w:rsidRDefault="006A701C" w:rsidP="007B2AC6">
            <w:pPr>
              <w:rPr>
                <w:rFonts w:eastAsia="標楷體"/>
                <w:kern w:val="0"/>
              </w:rPr>
            </w:pPr>
          </w:p>
        </w:tc>
      </w:tr>
      <w:tr w:rsidR="006A701C" w:rsidRPr="00F74D2C" w:rsidTr="007B1FB6">
        <w:trPr>
          <w:gridAfter w:val="1"/>
          <w:wAfter w:w="13" w:type="dxa"/>
        </w:trPr>
        <w:tc>
          <w:tcPr>
            <w:tcW w:w="2093" w:type="dxa"/>
            <w:gridSpan w:val="3"/>
          </w:tcPr>
          <w:p w:rsidR="006A701C" w:rsidRPr="00F74D2C" w:rsidRDefault="00DB0C74" w:rsidP="007B2AC6">
            <w:pPr>
              <w:rPr>
                <w:rFonts w:eastAsia="標楷體"/>
                <w:kern w:val="0"/>
              </w:rPr>
            </w:pPr>
            <w:r w:rsidRPr="00F74D2C">
              <w:rPr>
                <w:rFonts w:eastAsia="標楷體" w:hint="eastAsia"/>
                <w:kern w:val="0"/>
              </w:rPr>
              <w:t>交通</w:t>
            </w:r>
            <w:r w:rsidRPr="00F74D2C">
              <w:rPr>
                <w:rFonts w:eastAsia="標楷體"/>
                <w:kern w:val="0"/>
              </w:rPr>
              <w:t>+</w:t>
            </w:r>
            <w:r w:rsidRPr="00F74D2C">
              <w:rPr>
                <w:rFonts w:eastAsia="標楷體" w:hint="eastAsia"/>
                <w:kern w:val="0"/>
              </w:rPr>
              <w:t>現代服務業</w:t>
            </w:r>
          </w:p>
        </w:tc>
        <w:tc>
          <w:tcPr>
            <w:tcW w:w="236" w:type="dxa"/>
          </w:tcPr>
          <w:p w:rsidR="006A701C" w:rsidRPr="00F74D2C" w:rsidRDefault="006A701C" w:rsidP="007B2AC6">
            <w:pPr>
              <w:rPr>
                <w:rFonts w:eastAsia="標楷體"/>
                <w:kern w:val="0"/>
              </w:rPr>
            </w:pPr>
          </w:p>
        </w:tc>
        <w:tc>
          <w:tcPr>
            <w:tcW w:w="1499" w:type="dxa"/>
            <w:gridSpan w:val="2"/>
            <w:shd w:val="clear" w:color="auto" w:fill="F2F2F2"/>
          </w:tcPr>
          <w:p w:rsidR="006A701C" w:rsidRPr="00F74D2C" w:rsidRDefault="00DB0C74" w:rsidP="007B2AC6">
            <w:pPr>
              <w:rPr>
                <w:rFonts w:eastAsia="標楷體"/>
                <w:kern w:val="0"/>
              </w:rPr>
            </w:pPr>
            <w:r w:rsidRPr="00F74D2C">
              <w:rPr>
                <w:rFonts w:eastAsia="標楷體" w:hint="eastAsia"/>
                <w:kern w:val="0"/>
              </w:rPr>
              <w:t>上海</w:t>
            </w:r>
          </w:p>
        </w:tc>
        <w:tc>
          <w:tcPr>
            <w:tcW w:w="1984" w:type="dxa"/>
            <w:gridSpan w:val="2"/>
            <w:shd w:val="clear" w:color="auto" w:fill="D9D9D9"/>
          </w:tcPr>
          <w:p w:rsidR="006A701C" w:rsidRPr="00F74D2C" w:rsidRDefault="00DB0C74" w:rsidP="007B2AC6">
            <w:pPr>
              <w:rPr>
                <w:rFonts w:eastAsia="標楷體"/>
                <w:kern w:val="0"/>
              </w:rPr>
            </w:pPr>
            <w:r w:rsidRPr="00F74D2C">
              <w:rPr>
                <w:rFonts w:eastAsia="標楷體" w:hint="eastAsia"/>
                <w:kern w:val="0"/>
              </w:rPr>
              <w:t>上海</w:t>
            </w:r>
            <w:r w:rsidRPr="00F74D2C">
              <w:rPr>
                <w:rFonts w:eastAsia="標楷體"/>
                <w:kern w:val="0"/>
              </w:rPr>
              <w:t>+</w:t>
            </w:r>
            <w:r w:rsidRPr="00F74D2C">
              <w:rPr>
                <w:rFonts w:eastAsia="標楷體" w:hint="eastAsia"/>
                <w:kern w:val="0"/>
              </w:rPr>
              <w:t>八省市</w:t>
            </w:r>
          </w:p>
        </w:tc>
        <w:tc>
          <w:tcPr>
            <w:tcW w:w="3510" w:type="dxa"/>
            <w:gridSpan w:val="8"/>
            <w:shd w:val="clear" w:color="auto" w:fill="BFBFBF"/>
          </w:tcPr>
          <w:p w:rsidR="006A701C" w:rsidRPr="00F74D2C" w:rsidRDefault="00DB0C74" w:rsidP="007B2AC6">
            <w:pPr>
              <w:rPr>
                <w:rFonts w:eastAsia="標楷體"/>
                <w:kern w:val="0"/>
              </w:rPr>
            </w:pPr>
            <w:r w:rsidRPr="00F74D2C">
              <w:rPr>
                <w:rFonts w:eastAsia="標楷體" w:hint="eastAsia"/>
                <w:kern w:val="0"/>
              </w:rPr>
              <w:t>全國</w:t>
            </w:r>
          </w:p>
        </w:tc>
      </w:tr>
      <w:tr w:rsidR="006A701C" w:rsidRPr="00F74D2C" w:rsidTr="007B1FB6">
        <w:trPr>
          <w:gridAfter w:val="1"/>
          <w:wAfter w:w="13" w:type="dxa"/>
        </w:trPr>
        <w:tc>
          <w:tcPr>
            <w:tcW w:w="2093" w:type="dxa"/>
            <w:gridSpan w:val="3"/>
          </w:tcPr>
          <w:p w:rsidR="006A701C" w:rsidRPr="00F74D2C" w:rsidRDefault="00DB0C74" w:rsidP="007B2AC6">
            <w:pPr>
              <w:jc w:val="center"/>
              <w:rPr>
                <w:rFonts w:eastAsia="標楷體"/>
                <w:kern w:val="0"/>
              </w:rPr>
            </w:pPr>
            <w:r w:rsidRPr="00F74D2C">
              <w:rPr>
                <w:rFonts w:eastAsia="標楷體"/>
                <w:kern w:val="0"/>
              </w:rPr>
              <w:t>(1+6)</w:t>
            </w:r>
          </w:p>
        </w:tc>
        <w:tc>
          <w:tcPr>
            <w:tcW w:w="236" w:type="dxa"/>
          </w:tcPr>
          <w:p w:rsidR="006A701C" w:rsidRPr="00F74D2C" w:rsidRDefault="006A701C" w:rsidP="007B2AC6">
            <w:pPr>
              <w:rPr>
                <w:rFonts w:eastAsia="標楷體"/>
                <w:kern w:val="0"/>
              </w:rPr>
            </w:pPr>
          </w:p>
        </w:tc>
        <w:tc>
          <w:tcPr>
            <w:tcW w:w="1499" w:type="dxa"/>
            <w:gridSpan w:val="2"/>
            <w:shd w:val="clear" w:color="auto" w:fill="FFFFFF"/>
          </w:tcPr>
          <w:p w:rsidR="006A701C" w:rsidRPr="00F74D2C" w:rsidRDefault="006A701C" w:rsidP="007B2AC6">
            <w:pPr>
              <w:rPr>
                <w:rFonts w:eastAsia="標楷體"/>
                <w:kern w:val="0"/>
              </w:rPr>
            </w:pPr>
          </w:p>
        </w:tc>
        <w:tc>
          <w:tcPr>
            <w:tcW w:w="1984" w:type="dxa"/>
            <w:gridSpan w:val="2"/>
            <w:shd w:val="clear" w:color="auto" w:fill="FFFFFF"/>
          </w:tcPr>
          <w:p w:rsidR="006A701C" w:rsidRPr="00F74D2C" w:rsidRDefault="006A701C" w:rsidP="007B2AC6">
            <w:pPr>
              <w:rPr>
                <w:rFonts w:eastAsia="標楷體"/>
                <w:kern w:val="0"/>
              </w:rPr>
            </w:pPr>
          </w:p>
        </w:tc>
        <w:tc>
          <w:tcPr>
            <w:tcW w:w="3510" w:type="dxa"/>
            <w:gridSpan w:val="8"/>
            <w:shd w:val="clear" w:color="auto" w:fill="FFFFFF"/>
          </w:tcPr>
          <w:p w:rsidR="006A701C" w:rsidRPr="00F74D2C" w:rsidRDefault="006A701C" w:rsidP="007B2AC6">
            <w:pPr>
              <w:rPr>
                <w:rFonts w:eastAsia="標楷體"/>
                <w:kern w:val="0"/>
              </w:rPr>
            </w:pPr>
          </w:p>
        </w:tc>
      </w:tr>
      <w:tr w:rsidR="006A701C" w:rsidRPr="00F74D2C" w:rsidTr="007B1FB6">
        <w:trPr>
          <w:gridAfter w:val="1"/>
          <w:wAfter w:w="13" w:type="dxa"/>
        </w:trPr>
        <w:tc>
          <w:tcPr>
            <w:tcW w:w="2093" w:type="dxa"/>
            <w:gridSpan w:val="3"/>
          </w:tcPr>
          <w:p w:rsidR="006A701C" w:rsidRPr="00F74D2C" w:rsidRDefault="00DB0C74" w:rsidP="007B2AC6">
            <w:pPr>
              <w:rPr>
                <w:rFonts w:eastAsia="標楷體"/>
                <w:kern w:val="0"/>
              </w:rPr>
            </w:pPr>
            <w:r w:rsidRPr="00F74D2C">
              <w:rPr>
                <w:rFonts w:eastAsia="標楷體" w:hint="eastAsia"/>
                <w:kern w:val="0"/>
              </w:rPr>
              <w:t>廣播影視業</w:t>
            </w:r>
          </w:p>
        </w:tc>
        <w:tc>
          <w:tcPr>
            <w:tcW w:w="236" w:type="dxa"/>
          </w:tcPr>
          <w:p w:rsidR="006A701C" w:rsidRPr="00F74D2C" w:rsidRDefault="006A701C" w:rsidP="007B2AC6">
            <w:pPr>
              <w:rPr>
                <w:rFonts w:eastAsia="標楷體"/>
                <w:kern w:val="0"/>
              </w:rPr>
            </w:pPr>
          </w:p>
        </w:tc>
        <w:tc>
          <w:tcPr>
            <w:tcW w:w="1499" w:type="dxa"/>
            <w:gridSpan w:val="2"/>
          </w:tcPr>
          <w:p w:rsidR="006A701C" w:rsidRPr="00F74D2C" w:rsidRDefault="006A701C" w:rsidP="007B2AC6">
            <w:pPr>
              <w:rPr>
                <w:rFonts w:eastAsia="標楷體"/>
                <w:kern w:val="0"/>
              </w:rPr>
            </w:pPr>
          </w:p>
        </w:tc>
        <w:tc>
          <w:tcPr>
            <w:tcW w:w="1984" w:type="dxa"/>
            <w:gridSpan w:val="2"/>
          </w:tcPr>
          <w:p w:rsidR="006A701C" w:rsidRPr="00F74D2C" w:rsidRDefault="006A701C" w:rsidP="007B2AC6">
            <w:pPr>
              <w:rPr>
                <w:rFonts w:eastAsia="標楷體"/>
                <w:kern w:val="0"/>
              </w:rPr>
            </w:pPr>
          </w:p>
        </w:tc>
        <w:tc>
          <w:tcPr>
            <w:tcW w:w="3510" w:type="dxa"/>
            <w:gridSpan w:val="8"/>
            <w:shd w:val="clear" w:color="auto" w:fill="BFBFBF"/>
          </w:tcPr>
          <w:p w:rsidR="006A701C" w:rsidRPr="00F74D2C" w:rsidRDefault="00DB0C74" w:rsidP="007B2AC6">
            <w:pPr>
              <w:rPr>
                <w:rFonts w:eastAsia="標楷體"/>
                <w:kern w:val="0"/>
              </w:rPr>
            </w:pPr>
            <w:r w:rsidRPr="00F74D2C">
              <w:rPr>
                <w:rFonts w:eastAsia="標楷體" w:hint="eastAsia"/>
                <w:kern w:val="0"/>
              </w:rPr>
              <w:t>全國</w:t>
            </w:r>
          </w:p>
        </w:tc>
      </w:tr>
      <w:tr w:rsidR="006A701C" w:rsidRPr="00F74D2C" w:rsidTr="007B1FB6">
        <w:trPr>
          <w:gridAfter w:val="1"/>
          <w:wAfter w:w="13" w:type="dxa"/>
        </w:trPr>
        <w:tc>
          <w:tcPr>
            <w:tcW w:w="2093" w:type="dxa"/>
            <w:gridSpan w:val="3"/>
          </w:tcPr>
          <w:p w:rsidR="006A701C" w:rsidRPr="00F74D2C" w:rsidRDefault="006A701C" w:rsidP="007B2AC6">
            <w:pPr>
              <w:rPr>
                <w:rFonts w:eastAsia="標楷體"/>
                <w:kern w:val="0"/>
              </w:rPr>
            </w:pPr>
          </w:p>
        </w:tc>
        <w:tc>
          <w:tcPr>
            <w:tcW w:w="236" w:type="dxa"/>
          </w:tcPr>
          <w:p w:rsidR="006A701C" w:rsidRPr="00F74D2C" w:rsidRDefault="006A701C" w:rsidP="007B2AC6">
            <w:pPr>
              <w:rPr>
                <w:rFonts w:eastAsia="標楷體"/>
                <w:kern w:val="0"/>
              </w:rPr>
            </w:pPr>
          </w:p>
        </w:tc>
        <w:tc>
          <w:tcPr>
            <w:tcW w:w="1499" w:type="dxa"/>
            <w:gridSpan w:val="2"/>
          </w:tcPr>
          <w:p w:rsidR="006A701C" w:rsidRPr="00F74D2C" w:rsidRDefault="006A701C" w:rsidP="007B2AC6">
            <w:pPr>
              <w:rPr>
                <w:rFonts w:eastAsia="標楷體"/>
                <w:kern w:val="0"/>
              </w:rPr>
            </w:pPr>
          </w:p>
        </w:tc>
        <w:tc>
          <w:tcPr>
            <w:tcW w:w="1984" w:type="dxa"/>
            <w:gridSpan w:val="2"/>
          </w:tcPr>
          <w:p w:rsidR="006A701C" w:rsidRPr="00F74D2C" w:rsidRDefault="006A701C" w:rsidP="007B2AC6">
            <w:pPr>
              <w:rPr>
                <w:rFonts w:eastAsia="標楷體"/>
                <w:kern w:val="0"/>
              </w:rPr>
            </w:pPr>
          </w:p>
        </w:tc>
        <w:tc>
          <w:tcPr>
            <w:tcW w:w="3510" w:type="dxa"/>
            <w:gridSpan w:val="8"/>
            <w:shd w:val="clear" w:color="auto" w:fill="FFFFFF"/>
          </w:tcPr>
          <w:p w:rsidR="006A701C" w:rsidRPr="00F74D2C" w:rsidRDefault="006A701C" w:rsidP="007B2AC6">
            <w:pPr>
              <w:rPr>
                <w:rFonts w:eastAsia="標楷體"/>
                <w:kern w:val="0"/>
              </w:rPr>
            </w:pPr>
          </w:p>
        </w:tc>
      </w:tr>
      <w:tr w:rsidR="006A701C" w:rsidRPr="00923286" w:rsidTr="007B1FB6">
        <w:tc>
          <w:tcPr>
            <w:tcW w:w="2093" w:type="dxa"/>
            <w:gridSpan w:val="3"/>
          </w:tcPr>
          <w:p w:rsidR="006A701C" w:rsidRPr="00F74D2C" w:rsidRDefault="00DB0C74" w:rsidP="007B2AC6">
            <w:pPr>
              <w:rPr>
                <w:rFonts w:eastAsia="標楷體"/>
                <w:kern w:val="0"/>
              </w:rPr>
            </w:pPr>
            <w:r w:rsidRPr="00F74D2C">
              <w:rPr>
                <w:rFonts w:eastAsia="標楷體" w:hint="eastAsia"/>
                <w:kern w:val="0"/>
              </w:rPr>
              <w:t>鐵路</w:t>
            </w:r>
            <w:r w:rsidRPr="00F74D2C">
              <w:rPr>
                <w:rFonts w:eastAsia="標楷體"/>
                <w:kern w:val="0"/>
              </w:rPr>
              <w:t>+</w:t>
            </w:r>
            <w:r w:rsidRPr="00F74D2C">
              <w:rPr>
                <w:rFonts w:eastAsia="標楷體" w:hint="eastAsia"/>
                <w:kern w:val="0"/>
              </w:rPr>
              <w:t>郵政</w:t>
            </w:r>
          </w:p>
        </w:tc>
        <w:tc>
          <w:tcPr>
            <w:tcW w:w="236" w:type="dxa"/>
          </w:tcPr>
          <w:p w:rsidR="006A701C" w:rsidRPr="00F74D2C" w:rsidRDefault="006A701C" w:rsidP="007B2AC6">
            <w:pPr>
              <w:rPr>
                <w:rFonts w:eastAsia="標楷體"/>
                <w:kern w:val="0"/>
              </w:rPr>
            </w:pPr>
          </w:p>
        </w:tc>
        <w:tc>
          <w:tcPr>
            <w:tcW w:w="1499" w:type="dxa"/>
            <w:gridSpan w:val="2"/>
          </w:tcPr>
          <w:p w:rsidR="006A701C" w:rsidRPr="00F74D2C" w:rsidRDefault="006A701C" w:rsidP="007B2AC6">
            <w:pPr>
              <w:rPr>
                <w:rFonts w:eastAsia="標楷體"/>
                <w:kern w:val="0"/>
              </w:rPr>
            </w:pPr>
          </w:p>
        </w:tc>
        <w:tc>
          <w:tcPr>
            <w:tcW w:w="1984" w:type="dxa"/>
            <w:gridSpan w:val="2"/>
          </w:tcPr>
          <w:p w:rsidR="006A701C" w:rsidRPr="00F74D2C" w:rsidRDefault="006A701C" w:rsidP="007B2AC6">
            <w:pPr>
              <w:rPr>
                <w:rFonts w:eastAsia="標楷體"/>
                <w:kern w:val="0"/>
              </w:rPr>
            </w:pPr>
          </w:p>
        </w:tc>
        <w:tc>
          <w:tcPr>
            <w:tcW w:w="977" w:type="dxa"/>
            <w:gridSpan w:val="2"/>
          </w:tcPr>
          <w:p w:rsidR="006A701C" w:rsidRPr="00F74D2C" w:rsidRDefault="006A701C" w:rsidP="007B2AC6">
            <w:pPr>
              <w:rPr>
                <w:rFonts w:eastAsia="標楷體"/>
                <w:kern w:val="0"/>
              </w:rPr>
            </w:pPr>
          </w:p>
        </w:tc>
        <w:tc>
          <w:tcPr>
            <w:tcW w:w="2546" w:type="dxa"/>
            <w:gridSpan w:val="7"/>
            <w:shd w:val="clear" w:color="auto" w:fill="BFBFBF"/>
          </w:tcPr>
          <w:p w:rsidR="006A701C" w:rsidRPr="00F74D2C" w:rsidRDefault="00DB0C74" w:rsidP="007B2AC6">
            <w:pPr>
              <w:rPr>
                <w:rFonts w:eastAsia="標楷體"/>
                <w:kern w:val="0"/>
              </w:rPr>
            </w:pPr>
            <w:r w:rsidRPr="00F74D2C">
              <w:rPr>
                <w:rFonts w:eastAsia="標楷體" w:hint="eastAsia"/>
                <w:kern w:val="0"/>
              </w:rPr>
              <w:t>全國</w:t>
            </w:r>
          </w:p>
        </w:tc>
      </w:tr>
      <w:tr w:rsidR="006A701C" w:rsidRPr="00923286" w:rsidTr="007B1FB6">
        <w:tc>
          <w:tcPr>
            <w:tcW w:w="2093" w:type="dxa"/>
            <w:gridSpan w:val="3"/>
          </w:tcPr>
          <w:p w:rsidR="006A701C" w:rsidRPr="00F74D2C" w:rsidRDefault="006A701C" w:rsidP="007B2AC6">
            <w:pPr>
              <w:rPr>
                <w:rFonts w:eastAsia="標楷體"/>
                <w:kern w:val="0"/>
              </w:rPr>
            </w:pPr>
          </w:p>
        </w:tc>
        <w:tc>
          <w:tcPr>
            <w:tcW w:w="236" w:type="dxa"/>
          </w:tcPr>
          <w:p w:rsidR="006A701C" w:rsidRPr="00F74D2C" w:rsidRDefault="006A701C" w:rsidP="007B2AC6">
            <w:pPr>
              <w:rPr>
                <w:rFonts w:eastAsia="標楷體"/>
                <w:kern w:val="0"/>
              </w:rPr>
            </w:pPr>
          </w:p>
        </w:tc>
        <w:tc>
          <w:tcPr>
            <w:tcW w:w="1499" w:type="dxa"/>
            <w:gridSpan w:val="2"/>
          </w:tcPr>
          <w:p w:rsidR="006A701C" w:rsidRPr="00F74D2C" w:rsidRDefault="006A701C" w:rsidP="007B2AC6">
            <w:pPr>
              <w:rPr>
                <w:rFonts w:eastAsia="標楷體"/>
                <w:kern w:val="0"/>
              </w:rPr>
            </w:pPr>
          </w:p>
        </w:tc>
        <w:tc>
          <w:tcPr>
            <w:tcW w:w="1984" w:type="dxa"/>
            <w:gridSpan w:val="2"/>
          </w:tcPr>
          <w:p w:rsidR="006A701C" w:rsidRPr="00F74D2C" w:rsidRDefault="006A701C" w:rsidP="007B2AC6">
            <w:pPr>
              <w:rPr>
                <w:rFonts w:eastAsia="標楷體"/>
                <w:kern w:val="0"/>
              </w:rPr>
            </w:pPr>
          </w:p>
        </w:tc>
        <w:tc>
          <w:tcPr>
            <w:tcW w:w="977" w:type="dxa"/>
            <w:gridSpan w:val="2"/>
          </w:tcPr>
          <w:p w:rsidR="006A701C" w:rsidRPr="00F74D2C" w:rsidRDefault="006A701C" w:rsidP="007B2AC6">
            <w:pPr>
              <w:rPr>
                <w:rFonts w:eastAsia="標楷體"/>
                <w:kern w:val="0"/>
              </w:rPr>
            </w:pPr>
          </w:p>
        </w:tc>
        <w:tc>
          <w:tcPr>
            <w:tcW w:w="2546" w:type="dxa"/>
            <w:gridSpan w:val="7"/>
            <w:shd w:val="clear" w:color="auto" w:fill="FFFFFF"/>
          </w:tcPr>
          <w:p w:rsidR="006A701C" w:rsidRPr="00F74D2C" w:rsidRDefault="006A701C" w:rsidP="007B2AC6">
            <w:pPr>
              <w:rPr>
                <w:rFonts w:eastAsia="標楷體"/>
                <w:kern w:val="0"/>
              </w:rPr>
            </w:pPr>
          </w:p>
        </w:tc>
      </w:tr>
      <w:tr w:rsidR="006A701C" w:rsidRPr="00923286" w:rsidTr="007B1FB6">
        <w:tc>
          <w:tcPr>
            <w:tcW w:w="2093" w:type="dxa"/>
            <w:gridSpan w:val="3"/>
          </w:tcPr>
          <w:p w:rsidR="006A701C" w:rsidRPr="00923286" w:rsidRDefault="00DB0C74" w:rsidP="007B2AC6">
            <w:pPr>
              <w:rPr>
                <w:rFonts w:ascii="標楷體" w:eastAsia="標楷體" w:hAnsi="標楷體"/>
                <w:kern w:val="0"/>
              </w:rPr>
            </w:pPr>
            <w:r w:rsidRPr="00923286">
              <w:rPr>
                <w:rFonts w:ascii="標楷體" w:eastAsia="標楷體" w:hAnsi="標楷體" w:hint="eastAsia"/>
                <w:kern w:val="0"/>
              </w:rPr>
              <w:t>電信業</w:t>
            </w:r>
          </w:p>
        </w:tc>
        <w:tc>
          <w:tcPr>
            <w:tcW w:w="236" w:type="dxa"/>
          </w:tcPr>
          <w:p w:rsidR="006A701C" w:rsidRPr="00923286" w:rsidRDefault="006A701C" w:rsidP="007B2AC6">
            <w:pPr>
              <w:rPr>
                <w:rFonts w:ascii="標楷體" w:eastAsia="標楷體" w:hAnsi="標楷體"/>
                <w:kern w:val="0"/>
              </w:rPr>
            </w:pPr>
          </w:p>
        </w:tc>
        <w:tc>
          <w:tcPr>
            <w:tcW w:w="1499" w:type="dxa"/>
            <w:gridSpan w:val="2"/>
          </w:tcPr>
          <w:p w:rsidR="006A701C" w:rsidRPr="00923286" w:rsidRDefault="006A701C" w:rsidP="007B2AC6">
            <w:pPr>
              <w:rPr>
                <w:rFonts w:ascii="標楷體" w:eastAsia="標楷體" w:hAnsi="標楷體"/>
                <w:kern w:val="0"/>
              </w:rPr>
            </w:pPr>
          </w:p>
        </w:tc>
        <w:tc>
          <w:tcPr>
            <w:tcW w:w="1984" w:type="dxa"/>
            <w:gridSpan w:val="2"/>
          </w:tcPr>
          <w:p w:rsidR="006A701C" w:rsidRPr="00923286" w:rsidRDefault="006A701C" w:rsidP="007B2AC6">
            <w:pPr>
              <w:rPr>
                <w:rFonts w:ascii="標楷體" w:eastAsia="標楷體" w:hAnsi="標楷體"/>
                <w:kern w:val="0"/>
              </w:rPr>
            </w:pPr>
          </w:p>
        </w:tc>
        <w:tc>
          <w:tcPr>
            <w:tcW w:w="977" w:type="dxa"/>
            <w:gridSpan w:val="2"/>
          </w:tcPr>
          <w:p w:rsidR="006A701C" w:rsidRPr="00923286" w:rsidRDefault="006A701C" w:rsidP="007B2AC6">
            <w:pPr>
              <w:rPr>
                <w:rFonts w:ascii="標楷體" w:eastAsia="標楷體" w:hAnsi="標楷體"/>
                <w:kern w:val="0"/>
              </w:rPr>
            </w:pPr>
          </w:p>
        </w:tc>
        <w:tc>
          <w:tcPr>
            <w:tcW w:w="1149" w:type="dxa"/>
            <w:gridSpan w:val="2"/>
          </w:tcPr>
          <w:p w:rsidR="006A701C" w:rsidRPr="00923286" w:rsidRDefault="006A701C" w:rsidP="007B2AC6">
            <w:pPr>
              <w:rPr>
                <w:rFonts w:ascii="標楷體" w:eastAsia="標楷體" w:hAnsi="標楷體"/>
                <w:kern w:val="0"/>
              </w:rPr>
            </w:pPr>
          </w:p>
        </w:tc>
        <w:tc>
          <w:tcPr>
            <w:tcW w:w="1397" w:type="dxa"/>
            <w:gridSpan w:val="5"/>
            <w:shd w:val="clear" w:color="auto" w:fill="BFBFBF"/>
          </w:tcPr>
          <w:p w:rsidR="006A701C" w:rsidRPr="00923286" w:rsidRDefault="00DB0C74" w:rsidP="007B2AC6">
            <w:pPr>
              <w:rPr>
                <w:rFonts w:ascii="標楷體" w:eastAsia="標楷體" w:hAnsi="標楷體"/>
                <w:kern w:val="0"/>
              </w:rPr>
            </w:pPr>
            <w:r w:rsidRPr="00923286">
              <w:rPr>
                <w:rFonts w:ascii="標楷體" w:eastAsia="標楷體" w:hAnsi="標楷體" w:hint="eastAsia"/>
                <w:kern w:val="0"/>
              </w:rPr>
              <w:t>全國</w:t>
            </w:r>
          </w:p>
        </w:tc>
      </w:tr>
    </w:tbl>
    <w:p w:rsidR="006A701C" w:rsidRPr="006A701C" w:rsidRDefault="00DB0C74" w:rsidP="006A701C">
      <w:pPr>
        <w:jc w:val="both"/>
        <w:rPr>
          <w:rFonts w:ascii="標楷體" w:eastAsia="標楷體" w:hAnsi="標楷體"/>
          <w:sz w:val="21"/>
          <w:szCs w:val="22"/>
        </w:rPr>
      </w:pPr>
      <w:r w:rsidRPr="006A701C">
        <w:rPr>
          <w:rFonts w:ascii="標楷體" w:eastAsia="標楷體" w:hAnsi="標楷體" w:hint="eastAsia"/>
          <w:sz w:val="21"/>
          <w:szCs w:val="22"/>
        </w:rPr>
        <w:t>資料來源</w:t>
      </w:r>
      <w:r w:rsidRPr="006A701C">
        <w:rPr>
          <w:rFonts w:ascii="標楷體" w:eastAsia="標楷體" w:hAnsi="標楷體"/>
          <w:sz w:val="21"/>
          <w:szCs w:val="22"/>
        </w:rPr>
        <w:t xml:space="preserve">: </w:t>
      </w:r>
      <w:r w:rsidRPr="006A701C">
        <w:rPr>
          <w:rFonts w:ascii="標楷體" w:eastAsia="標楷體" w:hAnsi="標楷體" w:hint="eastAsia"/>
          <w:sz w:val="21"/>
          <w:szCs w:val="22"/>
        </w:rPr>
        <w:t>本研究繪製</w:t>
      </w:r>
    </w:p>
    <w:p w:rsidR="006A701C" w:rsidRPr="00032EE2" w:rsidRDefault="00DB0C74" w:rsidP="00032EE2">
      <w:pPr>
        <w:pStyle w:val="af0"/>
      </w:pPr>
      <w:bookmarkStart w:id="39" w:name="_Toc405462626"/>
      <w:r w:rsidRPr="00032EE2">
        <w:rPr>
          <w:rFonts w:hint="eastAsia"/>
        </w:rPr>
        <w:t>圖</w:t>
      </w:r>
      <w:r w:rsidRPr="00032EE2">
        <w:t>3-</w:t>
      </w:r>
      <w:r w:rsidR="0035101D">
        <w:rPr>
          <w:rFonts w:hint="eastAsia"/>
          <w:lang w:eastAsia="zh-TW"/>
        </w:rPr>
        <w:t xml:space="preserve">3  </w:t>
      </w:r>
      <w:r w:rsidRPr="00032EE2">
        <w:rPr>
          <w:rFonts w:hint="eastAsia"/>
        </w:rPr>
        <w:t>營改增發展時程示意圖</w:t>
      </w:r>
      <w:bookmarkEnd w:id="39"/>
    </w:p>
    <w:p w:rsidR="00BC0A5E" w:rsidRPr="00BC0A5E"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sz w:val="26"/>
        </w:rPr>
        <w:t>2012</w:t>
      </w:r>
      <w:r w:rsidRPr="006A701C">
        <w:rPr>
          <w:rFonts w:eastAsia="標楷體" w:hint="eastAsia"/>
          <w:sz w:val="26"/>
        </w:rPr>
        <w:t>年至今，中國大陸營改增政策主要聚焦在生產性服務業，生產性服務業之定義可見諸《十一五綱要》，其認為生產性服務業提供的是市場化的中間服務（非最終消費服務），即作為其他產品或服務生產的中間投入的服務，並具有高度專業化和知識密集的特點，具體包括交通運輸業、現代物流業、金融服務業、資訊服務業和商務服務業等行業。</w:t>
      </w:r>
      <w:r w:rsidR="00BC0A5E">
        <w:rPr>
          <w:rFonts w:eastAsia="標楷體" w:hint="eastAsia"/>
          <w:sz w:val="26"/>
        </w:rPr>
        <w:t>以下於</w:t>
      </w:r>
      <w:r w:rsidR="00BC0A5E" w:rsidRPr="00BC0A5E">
        <w:rPr>
          <w:rFonts w:eastAsia="標楷體" w:hint="eastAsia"/>
          <w:sz w:val="26"/>
        </w:rPr>
        <w:t>圖</w:t>
      </w:r>
      <w:r w:rsidR="00BC0A5E" w:rsidRPr="00BC0A5E">
        <w:rPr>
          <w:rFonts w:eastAsia="標楷體" w:hint="eastAsia"/>
          <w:sz w:val="26"/>
        </w:rPr>
        <w:t>3-4</w:t>
      </w:r>
      <w:r w:rsidR="00BC0A5E">
        <w:rPr>
          <w:rFonts w:eastAsia="標楷體" w:hint="eastAsia"/>
          <w:sz w:val="26"/>
        </w:rPr>
        <w:t>中</w:t>
      </w:r>
      <w:r w:rsidR="00BC0A5E" w:rsidRPr="00BC0A5E">
        <w:rPr>
          <w:rFonts w:eastAsia="標楷體" w:hint="eastAsia"/>
          <w:sz w:val="26"/>
        </w:rPr>
        <w:t>繪出生產性服務業個別產業在</w:t>
      </w:r>
      <w:r w:rsidR="00BC0A5E" w:rsidRPr="00BC0A5E">
        <w:rPr>
          <w:rFonts w:eastAsia="標楷體" w:hint="eastAsia"/>
          <w:sz w:val="26"/>
        </w:rPr>
        <w:t>2004</w:t>
      </w:r>
      <w:r w:rsidR="00BC0A5E">
        <w:rPr>
          <w:rFonts w:eastAsia="標楷體" w:hint="eastAsia"/>
          <w:sz w:val="26"/>
        </w:rPr>
        <w:t>年</w:t>
      </w:r>
      <w:r w:rsidR="00BC0A5E" w:rsidRPr="00BC0A5E">
        <w:rPr>
          <w:rFonts w:eastAsia="標楷體" w:hint="eastAsia"/>
          <w:sz w:val="26"/>
        </w:rPr>
        <w:t>以後</w:t>
      </w:r>
      <w:r w:rsidR="00BC0A5E">
        <w:rPr>
          <w:rFonts w:eastAsia="標楷體" w:hint="eastAsia"/>
          <w:sz w:val="26"/>
        </w:rPr>
        <w:t>之成長</w:t>
      </w:r>
      <w:r w:rsidR="00BC0A5E" w:rsidRPr="00BC0A5E">
        <w:rPr>
          <w:rFonts w:eastAsia="標楷體" w:hint="eastAsia"/>
          <w:sz w:val="26"/>
        </w:rPr>
        <w:t>趨勢</w:t>
      </w:r>
      <w:r w:rsidR="00BC0A5E">
        <w:rPr>
          <w:rFonts w:eastAsia="標楷體" w:hint="eastAsia"/>
          <w:sz w:val="26"/>
        </w:rPr>
        <w:t>（</w:t>
      </w:r>
      <w:r w:rsidR="00BC0A5E" w:rsidRPr="00BC0A5E">
        <w:rPr>
          <w:rFonts w:eastAsia="標楷體" w:hint="eastAsia"/>
          <w:sz w:val="26"/>
        </w:rPr>
        <w:t>選擇</w:t>
      </w:r>
      <w:r w:rsidR="00BC0A5E" w:rsidRPr="00BC0A5E">
        <w:rPr>
          <w:rFonts w:eastAsia="標楷體" w:hint="eastAsia"/>
          <w:sz w:val="26"/>
        </w:rPr>
        <w:t>2004</w:t>
      </w:r>
      <w:r w:rsidR="00BC0A5E" w:rsidRPr="00BC0A5E">
        <w:rPr>
          <w:rFonts w:eastAsia="標楷體" w:hint="eastAsia"/>
          <w:sz w:val="26"/>
        </w:rPr>
        <w:t>年為起始年的原因</w:t>
      </w:r>
      <w:r w:rsidR="00BC0A5E">
        <w:rPr>
          <w:rFonts w:eastAsia="標楷體" w:hint="eastAsia"/>
          <w:sz w:val="26"/>
        </w:rPr>
        <w:t>如先</w:t>
      </w:r>
      <w:r w:rsidR="00BC0A5E" w:rsidRPr="00BC0A5E">
        <w:rPr>
          <w:rFonts w:eastAsia="標楷體" w:hint="eastAsia"/>
          <w:sz w:val="26"/>
        </w:rPr>
        <w:t>前</w:t>
      </w:r>
      <w:r w:rsidR="00BC0A5E">
        <w:rPr>
          <w:rFonts w:eastAsia="標楷體" w:hint="eastAsia"/>
          <w:sz w:val="26"/>
        </w:rPr>
        <w:t>所</w:t>
      </w:r>
      <w:r w:rsidR="00BC0A5E" w:rsidRPr="00BC0A5E">
        <w:rPr>
          <w:rFonts w:eastAsia="標楷體" w:hint="eastAsia"/>
          <w:sz w:val="26"/>
        </w:rPr>
        <w:t>述</w:t>
      </w:r>
      <w:r w:rsidR="00BC0A5E">
        <w:rPr>
          <w:rFonts w:eastAsia="標楷體" w:hint="eastAsia"/>
          <w:sz w:val="26"/>
        </w:rPr>
        <w:t>）</w:t>
      </w:r>
      <w:r w:rsidR="00BC0A5E" w:rsidRPr="00BC0A5E">
        <w:rPr>
          <w:rFonts w:eastAsia="標楷體" w:hint="eastAsia"/>
          <w:sz w:val="26"/>
        </w:rPr>
        <w:t>，</w:t>
      </w:r>
      <w:r w:rsidR="00BC0A5E">
        <w:rPr>
          <w:rFonts w:eastAsia="標楷體" w:hint="eastAsia"/>
          <w:sz w:val="26"/>
        </w:rPr>
        <w:t>而金融服務業因特性與其他產業相差甚大，且至今仍未納入營改增試點範圍，故</w:t>
      </w:r>
      <w:r w:rsidR="00BC0A5E" w:rsidRPr="00BC0A5E">
        <w:rPr>
          <w:rFonts w:eastAsia="標楷體" w:hint="eastAsia"/>
          <w:sz w:val="26"/>
        </w:rPr>
        <w:t>不</w:t>
      </w:r>
      <w:r w:rsidR="00BC0A5E">
        <w:rPr>
          <w:rFonts w:eastAsia="標楷體" w:hint="eastAsia"/>
          <w:sz w:val="26"/>
        </w:rPr>
        <w:t>納入</w:t>
      </w:r>
      <w:r w:rsidR="00BC0A5E" w:rsidRPr="00BC0A5E">
        <w:rPr>
          <w:rFonts w:eastAsia="標楷體" w:hint="eastAsia"/>
          <w:sz w:val="26"/>
        </w:rPr>
        <w:t>。除個別產業之成長率外，我們也放入生產性服務業及第三產業的成長率進行對照。整體而言，生產性服務業的成長率幅度相當一致，且皆受到總體經濟環境影響甚深，</w:t>
      </w:r>
      <w:r w:rsidR="00BC0A5E" w:rsidRPr="00BC0A5E">
        <w:rPr>
          <w:rFonts w:eastAsia="標楷體" w:hint="eastAsia"/>
          <w:sz w:val="26"/>
        </w:rPr>
        <w:t>2008</w:t>
      </w:r>
      <w:r w:rsidR="00BC0A5E" w:rsidRPr="00BC0A5E">
        <w:rPr>
          <w:rFonts w:eastAsia="標楷體" w:hint="eastAsia"/>
          <w:sz w:val="26"/>
        </w:rPr>
        <w:t>年</w:t>
      </w:r>
      <w:r w:rsidR="00BC0A5E">
        <w:rPr>
          <w:rFonts w:eastAsia="標楷體" w:hint="eastAsia"/>
          <w:sz w:val="26"/>
        </w:rPr>
        <w:t>受</w:t>
      </w:r>
      <w:r w:rsidR="00BC0A5E" w:rsidRPr="00BC0A5E">
        <w:rPr>
          <w:rFonts w:eastAsia="標楷體" w:hint="eastAsia"/>
          <w:sz w:val="26"/>
        </w:rPr>
        <w:t>金融危機</w:t>
      </w:r>
      <w:r w:rsidR="00BC0A5E">
        <w:rPr>
          <w:rFonts w:eastAsia="標楷體" w:hint="eastAsia"/>
          <w:sz w:val="26"/>
        </w:rPr>
        <w:t>影響，</w:t>
      </w:r>
      <w:r w:rsidR="00BC0A5E" w:rsidRPr="00BC0A5E">
        <w:rPr>
          <w:rFonts w:eastAsia="標楷體" w:hint="eastAsia"/>
          <w:sz w:val="26"/>
        </w:rPr>
        <w:t>成長率皆大幅下降，在此之後受整體環境好轉及政府推動服務業發展之</w:t>
      </w:r>
      <w:r w:rsidR="00BC0A5E">
        <w:rPr>
          <w:rFonts w:eastAsia="標楷體" w:hint="eastAsia"/>
          <w:sz w:val="26"/>
        </w:rPr>
        <w:t>因素而</w:t>
      </w:r>
      <w:r w:rsidR="00BC0A5E" w:rsidRPr="00BC0A5E">
        <w:rPr>
          <w:rFonts w:eastAsia="標楷體" w:hint="eastAsia"/>
          <w:sz w:val="26"/>
        </w:rPr>
        <w:t>逐年上升。</w:t>
      </w:r>
      <w:r w:rsidR="000A209D">
        <w:rPr>
          <w:rFonts w:eastAsia="標楷體" w:hint="eastAsia"/>
          <w:sz w:val="26"/>
        </w:rPr>
        <w:t>相對而言，科學研究、技術服務和地質勘察業與租賃商務服務業相對成長較快。</w:t>
      </w:r>
      <w:r w:rsidR="00BC0A5E" w:rsidRPr="00BC0A5E">
        <w:rPr>
          <w:rFonts w:eastAsia="標楷體" w:hint="eastAsia"/>
          <w:sz w:val="26"/>
        </w:rPr>
        <w:t>受限於資料僅至</w:t>
      </w:r>
      <w:r w:rsidR="00BC0A5E" w:rsidRPr="00BC0A5E">
        <w:rPr>
          <w:rFonts w:eastAsia="標楷體" w:hint="eastAsia"/>
          <w:sz w:val="26"/>
        </w:rPr>
        <w:t>2011</w:t>
      </w:r>
      <w:r w:rsidR="00BC0A5E" w:rsidRPr="00BC0A5E">
        <w:rPr>
          <w:rFonts w:eastAsia="標楷體" w:hint="eastAsia"/>
          <w:sz w:val="26"/>
        </w:rPr>
        <w:t>年，</w:t>
      </w:r>
      <w:r w:rsidR="00BC0A5E">
        <w:rPr>
          <w:rFonts w:eastAsia="標楷體" w:hint="eastAsia"/>
          <w:sz w:val="26"/>
        </w:rPr>
        <w:t>無法進一步跟營改增政策相關聯討論，</w:t>
      </w:r>
      <w:r w:rsidR="00BC0A5E" w:rsidRPr="00BC0A5E">
        <w:rPr>
          <w:rFonts w:eastAsia="標楷體" w:hint="eastAsia"/>
          <w:sz w:val="26"/>
        </w:rPr>
        <w:t>但可預期隨著營改增的實施，對這些生產性服務業而言</w:t>
      </w:r>
      <w:r w:rsidR="00BC0A5E" w:rsidRPr="00BC0A5E">
        <w:rPr>
          <w:rFonts w:eastAsia="標楷體" w:hint="eastAsia"/>
          <w:sz w:val="26"/>
          <w:szCs w:val="26"/>
        </w:rPr>
        <w:t>，長期</w:t>
      </w:r>
      <w:r w:rsidR="00BC0A5E">
        <w:rPr>
          <w:rFonts w:eastAsia="標楷體" w:hint="eastAsia"/>
          <w:sz w:val="26"/>
          <w:szCs w:val="26"/>
        </w:rPr>
        <w:t>來看其</w:t>
      </w:r>
      <w:r w:rsidR="00BC0A5E" w:rsidRPr="00BC0A5E">
        <w:rPr>
          <w:rFonts w:eastAsia="標楷體" w:hint="eastAsia"/>
          <w:sz w:val="26"/>
          <w:szCs w:val="26"/>
        </w:rPr>
        <w:t>成長率可預期</w:t>
      </w:r>
      <w:r w:rsidR="00BC0A5E">
        <w:rPr>
          <w:rFonts w:eastAsia="標楷體" w:hint="eastAsia"/>
          <w:sz w:val="26"/>
          <w:szCs w:val="26"/>
        </w:rPr>
        <w:t>會</w:t>
      </w:r>
      <w:r w:rsidR="00BC0A5E" w:rsidRPr="00BC0A5E">
        <w:rPr>
          <w:rFonts w:eastAsia="標楷體" w:hint="eastAsia"/>
          <w:sz w:val="26"/>
          <w:szCs w:val="26"/>
        </w:rPr>
        <w:t>持續上升。</w:t>
      </w:r>
    </w:p>
    <w:p w:rsidR="00BC0A5E" w:rsidRPr="007C3084" w:rsidRDefault="00796180" w:rsidP="000A209D">
      <w:pPr>
        <w:spacing w:beforeLines="30" w:before="108" w:afterLines="30" w:after="108" w:line="520" w:lineRule="exact"/>
        <w:ind w:firstLineChars="200" w:firstLine="520"/>
        <w:jc w:val="both"/>
        <w:rPr>
          <w:rFonts w:eastAsia="標楷體"/>
          <w:sz w:val="21"/>
          <w:szCs w:val="21"/>
        </w:rPr>
      </w:pPr>
      <w:r>
        <w:rPr>
          <w:rFonts w:eastAsia="標楷體"/>
          <w:noProof/>
          <w:sz w:val="26"/>
        </w:rPr>
        <w:lastRenderedPageBreak/>
        <w:drawing>
          <wp:anchor distT="0" distB="0" distL="114300" distR="114300" simplePos="0" relativeHeight="9" behindDoc="0" locked="0" layoutInCell="1" allowOverlap="1">
            <wp:simplePos x="0" y="0"/>
            <wp:positionH relativeFrom="margin">
              <wp:posOffset>88900</wp:posOffset>
            </wp:positionH>
            <wp:positionV relativeFrom="margin">
              <wp:posOffset>53975</wp:posOffset>
            </wp:positionV>
            <wp:extent cx="5092700" cy="4773930"/>
            <wp:effectExtent l="0" t="0" r="0" b="7620"/>
            <wp:wrapSquare wrapText="bothSides"/>
            <wp:docPr id="525" name="圖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2700" cy="4773930"/>
                    </a:xfrm>
                    <a:prstGeom prst="rect">
                      <a:avLst/>
                    </a:prstGeom>
                    <a:noFill/>
                  </pic:spPr>
                </pic:pic>
              </a:graphicData>
            </a:graphic>
            <wp14:sizeRelH relativeFrom="page">
              <wp14:pctWidth>0</wp14:pctWidth>
            </wp14:sizeRelH>
            <wp14:sizeRelV relativeFrom="page">
              <wp14:pctHeight>0</wp14:pctHeight>
            </wp14:sizeRelV>
          </wp:anchor>
        </w:drawing>
      </w:r>
      <w:r w:rsidR="00BC0A5E" w:rsidRPr="007C3084">
        <w:rPr>
          <w:rFonts w:eastAsia="標楷體" w:hint="eastAsia"/>
          <w:sz w:val="21"/>
          <w:szCs w:val="21"/>
        </w:rPr>
        <w:t>資料來源</w:t>
      </w:r>
      <w:r w:rsidR="00BC0A5E" w:rsidRPr="007C3084">
        <w:rPr>
          <w:rFonts w:eastAsia="標楷體" w:hint="eastAsia"/>
          <w:sz w:val="21"/>
          <w:szCs w:val="21"/>
        </w:rPr>
        <w:t xml:space="preserve">: </w:t>
      </w:r>
      <w:r w:rsidR="00BC0A5E" w:rsidRPr="007C3084">
        <w:rPr>
          <w:rFonts w:eastAsia="標楷體" w:hint="eastAsia"/>
          <w:sz w:val="21"/>
          <w:szCs w:val="21"/>
        </w:rPr>
        <w:t>中國統計年鑑。本研究繪製</w:t>
      </w:r>
    </w:p>
    <w:p w:rsidR="00BC0A5E" w:rsidRPr="0090432D" w:rsidRDefault="00BC0A5E" w:rsidP="0090432D">
      <w:pPr>
        <w:pStyle w:val="af0"/>
      </w:pPr>
      <w:bookmarkStart w:id="40" w:name="_Toc405462627"/>
      <w:r w:rsidRPr="0090432D">
        <w:rPr>
          <w:rFonts w:hint="eastAsia"/>
        </w:rPr>
        <w:t>圖</w:t>
      </w:r>
      <w:r w:rsidR="0090432D" w:rsidRPr="0090432D">
        <w:rPr>
          <w:rFonts w:hint="eastAsia"/>
        </w:rPr>
        <w:t>3-</w:t>
      </w:r>
      <w:r w:rsidR="0035101D">
        <w:rPr>
          <w:rFonts w:hint="eastAsia"/>
          <w:lang w:eastAsia="zh-TW"/>
        </w:rPr>
        <w:t xml:space="preserve">4  </w:t>
      </w:r>
      <w:r w:rsidRPr="0090432D">
        <w:rPr>
          <w:rFonts w:hint="eastAsia"/>
        </w:rPr>
        <w:t>生產性服務業成長趨勢</w:t>
      </w:r>
      <w:bookmarkEnd w:id="40"/>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因生產性服務業與第二級產業的高度相關性，因此越來越受到重視。</w:t>
      </w:r>
      <w:r w:rsidRPr="006A701C">
        <w:rPr>
          <w:rFonts w:eastAsia="標楷體"/>
          <w:sz w:val="26"/>
        </w:rPr>
        <w:t>2014</w:t>
      </w:r>
      <w:r w:rsidRPr="006A701C">
        <w:rPr>
          <w:rFonts w:eastAsia="標楷體" w:hint="eastAsia"/>
          <w:sz w:val="26"/>
        </w:rPr>
        <w:t>年</w:t>
      </w:r>
      <w:r w:rsidRPr="006A701C">
        <w:rPr>
          <w:rFonts w:eastAsia="標楷體"/>
          <w:sz w:val="26"/>
        </w:rPr>
        <w:t>5</w:t>
      </w:r>
      <w:r w:rsidRPr="006A701C">
        <w:rPr>
          <w:rFonts w:eastAsia="標楷體" w:hint="eastAsia"/>
          <w:sz w:val="26"/>
        </w:rPr>
        <w:t>月李克強公開表示鼓勵社會資本參與發展生產性服務業，包括研發設計、檢驗檢測認證、節能環保等生產性服務業，可申請認定高新技術企業，享受</w:t>
      </w:r>
      <w:r w:rsidRPr="006A701C">
        <w:rPr>
          <w:rFonts w:eastAsia="標楷體"/>
          <w:sz w:val="26"/>
        </w:rPr>
        <w:t>15%</w:t>
      </w:r>
      <w:r w:rsidRPr="006A701C">
        <w:rPr>
          <w:rFonts w:eastAsia="標楷體" w:hint="eastAsia"/>
          <w:sz w:val="26"/>
        </w:rPr>
        <w:t>的所得稅優惠稅率，並將盡快把「營改增」試點擴大到服務業全領域。此外，還要透過簡化審批程序來提高生產性服務業境外投資的便利化程度，可以見得中國大陸政府不斷努力加快生產性服務業的發展。具體內容有：加強新材料、新產品、新工藝研發應用；建設物流公共資訊平臺和貨物配載中心；提高資訊技術服務水準，促進工業生產流程再造和優化；推廣製造施工設備、運輸工具、生產線等融資租賃；以及鼓勵服務</w:t>
      </w:r>
      <w:r w:rsidRPr="006A701C">
        <w:rPr>
          <w:rFonts w:eastAsia="標楷體" w:hint="eastAsia"/>
          <w:sz w:val="26"/>
        </w:rPr>
        <w:lastRenderedPageBreak/>
        <w:t>外包等</w:t>
      </w:r>
      <w:r w:rsidR="00C47671" w:rsidRPr="006A701C">
        <w:rPr>
          <w:rFonts w:eastAsia="標楷體"/>
          <w:sz w:val="26"/>
          <w:vertAlign w:val="superscript"/>
        </w:rPr>
        <w:footnoteReference w:id="8"/>
      </w:r>
      <w:r w:rsidRPr="006A701C">
        <w:rPr>
          <w:rFonts w:eastAsia="標楷體" w:hint="eastAsia"/>
          <w:sz w:val="26"/>
        </w:rPr>
        <w:t>。</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目前已在全國範圍推行營改增的服務業包含交通運輸業與部分現代服務業（一般稱為</w:t>
      </w:r>
      <w:r w:rsidRPr="006A701C">
        <w:rPr>
          <w:rFonts w:eastAsia="標楷體"/>
          <w:sz w:val="26"/>
        </w:rPr>
        <w:t>1+6</w:t>
      </w:r>
      <w:r w:rsidRPr="006A701C">
        <w:rPr>
          <w:rFonts w:eastAsia="標楷體" w:hint="eastAsia"/>
          <w:sz w:val="26"/>
        </w:rPr>
        <w:t>）、廣播影視服務業、郵政通信產業等。所謂的</w:t>
      </w:r>
      <w:r w:rsidR="0035101D">
        <w:rPr>
          <w:rFonts w:eastAsia="標楷體" w:hint="eastAsia"/>
          <w:sz w:val="26"/>
        </w:rPr>
        <w:t>部分</w:t>
      </w:r>
      <w:r w:rsidRPr="006A701C">
        <w:rPr>
          <w:rFonts w:eastAsia="標楷體" w:hint="eastAsia"/>
          <w:sz w:val="26"/>
        </w:rPr>
        <w:t>現代服務業包含了：研發和技術服務、資訊技術服務、文化創意服務、物流輔助服務、有形動產租賃服務、</w:t>
      </w:r>
      <w:r w:rsidRPr="00DB0C74">
        <w:rPr>
          <w:rFonts w:eastAsia="標楷體" w:hint="eastAsia"/>
          <w:sz w:val="26"/>
        </w:rPr>
        <w:t>鑒證諮詢</w:t>
      </w:r>
      <w:r w:rsidRPr="006A701C">
        <w:rPr>
          <w:rFonts w:eastAsia="標楷體" w:hint="eastAsia"/>
          <w:sz w:val="26"/>
        </w:rPr>
        <w:t>服務等</w:t>
      </w:r>
      <w:r w:rsidR="00C47671">
        <w:rPr>
          <w:rStyle w:val="aff0"/>
          <w:rFonts w:eastAsia="標楷體"/>
          <w:sz w:val="26"/>
        </w:rPr>
        <w:footnoteReference w:id="9"/>
      </w:r>
      <w:r w:rsidRPr="006A701C">
        <w:rPr>
          <w:rFonts w:eastAsia="標楷體" w:hint="eastAsia"/>
          <w:sz w:val="26"/>
        </w:rPr>
        <w:t>。茲將影響產業的概況整理於下表</w:t>
      </w:r>
      <w:r w:rsidRPr="006A701C">
        <w:rPr>
          <w:rFonts w:eastAsia="標楷體"/>
          <w:sz w:val="26"/>
        </w:rPr>
        <w:t>3-2</w:t>
      </w:r>
      <w:r w:rsidRPr="006A701C">
        <w:rPr>
          <w:rFonts w:eastAsia="標楷體" w:hint="eastAsia"/>
          <w:sz w:val="26"/>
        </w:rPr>
        <w:t>，其中原稅率代表在營業稅架構下所課徵之稅率，新稅率代表改徵增值稅後面對的增值稅稅率。</w:t>
      </w:r>
    </w:p>
    <w:p w:rsidR="006A701C" w:rsidRPr="00032EE2" w:rsidRDefault="00DB0C74" w:rsidP="00032EE2">
      <w:pPr>
        <w:pStyle w:val="a7"/>
      </w:pPr>
      <w:bookmarkStart w:id="41" w:name="_Toc405462611"/>
      <w:r w:rsidRPr="00032EE2">
        <w:rPr>
          <w:rFonts w:hint="eastAsia"/>
        </w:rPr>
        <w:t>表</w:t>
      </w:r>
      <w:r w:rsidR="0035101D">
        <w:t>3-2</w:t>
      </w:r>
      <w:r w:rsidR="0035101D">
        <w:rPr>
          <w:rFonts w:hint="eastAsia"/>
          <w:lang w:eastAsia="zh-TW"/>
        </w:rPr>
        <w:t xml:space="preserve">  </w:t>
      </w:r>
      <w:r w:rsidRPr="00032EE2">
        <w:rPr>
          <w:rFonts w:hint="eastAsia"/>
        </w:rPr>
        <w:t>受營改增影響之服務業</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4111"/>
        <w:gridCol w:w="1276"/>
        <w:gridCol w:w="1184"/>
      </w:tblGrid>
      <w:tr w:rsidR="006A701C" w:rsidRPr="006A701C" w:rsidTr="007B2AC6">
        <w:tc>
          <w:tcPr>
            <w:tcW w:w="6062" w:type="dxa"/>
            <w:gridSpan w:val="2"/>
            <w:vAlign w:val="center"/>
          </w:tcPr>
          <w:p w:rsidR="006A701C" w:rsidRPr="006A701C" w:rsidRDefault="00DB0C74" w:rsidP="006A701C">
            <w:pPr>
              <w:jc w:val="center"/>
              <w:rPr>
                <w:rFonts w:eastAsia="標楷體"/>
              </w:rPr>
            </w:pPr>
            <w:r w:rsidRPr="006A701C">
              <w:rPr>
                <w:rFonts w:eastAsia="標楷體" w:hAnsi="標楷體" w:hint="eastAsia"/>
                <w:sz w:val="28"/>
              </w:rPr>
              <w:t>交通運輸業</w:t>
            </w:r>
          </w:p>
        </w:tc>
        <w:tc>
          <w:tcPr>
            <w:tcW w:w="1276" w:type="dxa"/>
            <w:vAlign w:val="center"/>
          </w:tcPr>
          <w:p w:rsidR="006A701C" w:rsidRPr="006A701C" w:rsidRDefault="00DB0C74" w:rsidP="006A701C">
            <w:pPr>
              <w:jc w:val="center"/>
              <w:rPr>
                <w:rFonts w:eastAsia="標楷體"/>
              </w:rPr>
            </w:pPr>
            <w:r w:rsidRPr="006A701C">
              <w:rPr>
                <w:rFonts w:eastAsia="標楷體" w:hAnsi="標楷體" w:hint="eastAsia"/>
              </w:rPr>
              <w:t>原稅率</w:t>
            </w:r>
          </w:p>
          <w:p w:rsidR="006A701C" w:rsidRPr="006A701C" w:rsidRDefault="00DB0C74" w:rsidP="006A701C">
            <w:pPr>
              <w:jc w:val="center"/>
              <w:rPr>
                <w:rFonts w:eastAsia="標楷體"/>
              </w:rPr>
            </w:pPr>
            <w:r w:rsidRPr="006A701C">
              <w:rPr>
                <w:rFonts w:eastAsia="標楷體"/>
              </w:rPr>
              <w:t>(</w:t>
            </w:r>
            <w:r w:rsidRPr="006A701C">
              <w:rPr>
                <w:rFonts w:eastAsia="標楷體" w:hAnsi="標楷體" w:hint="eastAsia"/>
              </w:rPr>
              <w:t>營業稅</w:t>
            </w:r>
            <w:r w:rsidRPr="006A701C">
              <w:rPr>
                <w:rFonts w:eastAsia="標楷體"/>
              </w:rPr>
              <w:t>)</w:t>
            </w:r>
          </w:p>
        </w:tc>
        <w:tc>
          <w:tcPr>
            <w:tcW w:w="1184" w:type="dxa"/>
            <w:vAlign w:val="center"/>
          </w:tcPr>
          <w:p w:rsidR="006A701C" w:rsidRPr="006A701C" w:rsidRDefault="00DB0C74" w:rsidP="006A701C">
            <w:pPr>
              <w:jc w:val="center"/>
              <w:rPr>
                <w:rFonts w:eastAsia="標楷體"/>
              </w:rPr>
            </w:pPr>
            <w:r w:rsidRPr="006A701C">
              <w:rPr>
                <w:rFonts w:eastAsia="標楷體" w:hAnsi="標楷體" w:hint="eastAsia"/>
              </w:rPr>
              <w:t>新稅率</w:t>
            </w:r>
          </w:p>
          <w:p w:rsidR="006A701C" w:rsidRPr="006A701C" w:rsidRDefault="00DB0C74" w:rsidP="006A701C">
            <w:pPr>
              <w:jc w:val="center"/>
              <w:rPr>
                <w:rFonts w:eastAsia="標楷體"/>
              </w:rPr>
            </w:pPr>
            <w:r w:rsidRPr="006A701C">
              <w:rPr>
                <w:rFonts w:eastAsia="標楷體"/>
              </w:rPr>
              <w:t>(</w:t>
            </w:r>
            <w:r w:rsidRPr="006A701C">
              <w:rPr>
                <w:rFonts w:eastAsia="標楷體" w:hAnsi="標楷體" w:hint="eastAsia"/>
              </w:rPr>
              <w:t>增值稅</w:t>
            </w:r>
            <w:r w:rsidRPr="006A701C">
              <w:rPr>
                <w:rFonts w:eastAsia="標楷體"/>
              </w:rPr>
              <w:t>)</w:t>
            </w: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陸路運輸服務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包括公路運輸、纜車運輸、索道運輸及其他陸路運輸；前半階段試點不包括鐵路運輸。</w:t>
            </w:r>
          </w:p>
        </w:tc>
        <w:tc>
          <w:tcPr>
            <w:tcW w:w="1276" w:type="dxa"/>
            <w:vMerge w:val="restart"/>
            <w:vAlign w:val="center"/>
          </w:tcPr>
          <w:p w:rsidR="006A701C" w:rsidRPr="006A701C" w:rsidRDefault="00DB0C74" w:rsidP="006A701C">
            <w:pPr>
              <w:jc w:val="center"/>
              <w:rPr>
                <w:rFonts w:eastAsia="標楷體"/>
              </w:rPr>
            </w:pPr>
            <w:r w:rsidRPr="006A701C">
              <w:rPr>
                <w:rFonts w:eastAsia="標楷體"/>
              </w:rPr>
              <w:t>3%</w:t>
            </w:r>
          </w:p>
        </w:tc>
        <w:tc>
          <w:tcPr>
            <w:tcW w:w="1184" w:type="dxa"/>
            <w:vMerge w:val="restart"/>
            <w:vAlign w:val="center"/>
          </w:tcPr>
          <w:p w:rsidR="006A701C" w:rsidRPr="006A701C" w:rsidRDefault="00DB0C74" w:rsidP="006A701C">
            <w:pPr>
              <w:jc w:val="center"/>
              <w:rPr>
                <w:rFonts w:eastAsia="標楷體"/>
              </w:rPr>
            </w:pPr>
            <w:r w:rsidRPr="006A701C">
              <w:rPr>
                <w:rFonts w:eastAsia="標楷體"/>
              </w:rPr>
              <w:t>11%</w:t>
            </w: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水路運輸服務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水路運輸服務，是指通過江、河、湖、川等天然、人工水道或者海洋航道運送貨物或者旅客的運輸業務活動。</w:t>
            </w:r>
          </w:p>
          <w:p w:rsidR="006A701C" w:rsidRPr="006A701C" w:rsidRDefault="00DB0C74" w:rsidP="006A701C">
            <w:pPr>
              <w:rPr>
                <w:rFonts w:eastAsia="標楷體"/>
              </w:rPr>
            </w:pPr>
            <w:r w:rsidRPr="006A701C">
              <w:rPr>
                <w:rFonts w:eastAsia="標楷體" w:hAnsi="標楷體" w:hint="eastAsia"/>
              </w:rPr>
              <w:t>遠洋運輸的程租、期租業務，屬於水路運輸服務。</w:t>
            </w:r>
          </w:p>
        </w:tc>
        <w:tc>
          <w:tcPr>
            <w:tcW w:w="1276" w:type="dxa"/>
            <w:vMerge/>
            <w:vAlign w:val="center"/>
          </w:tcPr>
          <w:p w:rsidR="006A701C" w:rsidRPr="006A701C" w:rsidRDefault="006A701C" w:rsidP="006A701C">
            <w:pPr>
              <w:jc w:val="center"/>
              <w:rPr>
                <w:rFonts w:eastAsia="標楷體"/>
              </w:rPr>
            </w:pPr>
          </w:p>
        </w:tc>
        <w:tc>
          <w:tcPr>
            <w:tcW w:w="1184" w:type="dxa"/>
            <w:vMerge/>
            <w:vAlign w:val="center"/>
          </w:tcPr>
          <w:p w:rsidR="006A701C" w:rsidRPr="006A701C" w:rsidRDefault="006A701C" w:rsidP="006A701C">
            <w:pPr>
              <w:jc w:val="center"/>
              <w:rPr>
                <w:rFonts w:eastAsia="標楷體"/>
              </w:rPr>
            </w:pP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航空運輸服務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航空運輸服務，是指通過空中航線運送貨物或者旅客的運輸業務活動。</w:t>
            </w:r>
          </w:p>
        </w:tc>
        <w:tc>
          <w:tcPr>
            <w:tcW w:w="1276" w:type="dxa"/>
            <w:vMerge/>
            <w:vAlign w:val="center"/>
          </w:tcPr>
          <w:p w:rsidR="006A701C" w:rsidRPr="006A701C" w:rsidRDefault="006A701C" w:rsidP="006A701C">
            <w:pPr>
              <w:jc w:val="center"/>
              <w:rPr>
                <w:rFonts w:eastAsia="標楷體"/>
              </w:rPr>
            </w:pPr>
          </w:p>
        </w:tc>
        <w:tc>
          <w:tcPr>
            <w:tcW w:w="1184" w:type="dxa"/>
            <w:vMerge/>
            <w:vAlign w:val="center"/>
          </w:tcPr>
          <w:p w:rsidR="006A701C" w:rsidRPr="006A701C" w:rsidRDefault="006A701C" w:rsidP="006A701C">
            <w:pPr>
              <w:jc w:val="center"/>
              <w:rPr>
                <w:rFonts w:eastAsia="標楷體"/>
              </w:rPr>
            </w:pP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管道運輸服務。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管道運輸服務，是指通過管道設施輸送氣體、液體、固體物質的運輸業務活動。</w:t>
            </w:r>
          </w:p>
        </w:tc>
        <w:tc>
          <w:tcPr>
            <w:tcW w:w="1276" w:type="dxa"/>
            <w:vMerge/>
            <w:vAlign w:val="center"/>
          </w:tcPr>
          <w:p w:rsidR="006A701C" w:rsidRPr="006A701C" w:rsidRDefault="006A701C" w:rsidP="006A701C">
            <w:pPr>
              <w:jc w:val="center"/>
              <w:rPr>
                <w:rFonts w:eastAsia="標楷體"/>
              </w:rPr>
            </w:pPr>
          </w:p>
        </w:tc>
        <w:tc>
          <w:tcPr>
            <w:tcW w:w="1184" w:type="dxa"/>
            <w:vMerge/>
            <w:vAlign w:val="center"/>
          </w:tcPr>
          <w:p w:rsidR="006A701C" w:rsidRPr="006A701C" w:rsidRDefault="006A701C" w:rsidP="006A701C">
            <w:pPr>
              <w:jc w:val="center"/>
              <w:rPr>
                <w:rFonts w:eastAsia="標楷體"/>
              </w:rPr>
            </w:pPr>
          </w:p>
        </w:tc>
      </w:tr>
      <w:tr w:rsidR="006A701C" w:rsidRPr="006A701C" w:rsidTr="007B2AC6">
        <w:tc>
          <w:tcPr>
            <w:tcW w:w="6062" w:type="dxa"/>
            <w:gridSpan w:val="2"/>
            <w:vAlign w:val="center"/>
          </w:tcPr>
          <w:p w:rsidR="006A701C" w:rsidRPr="006A701C" w:rsidRDefault="00DB0C74" w:rsidP="006A701C">
            <w:pPr>
              <w:jc w:val="center"/>
              <w:rPr>
                <w:rFonts w:eastAsia="標楷體"/>
              </w:rPr>
            </w:pPr>
            <w:r w:rsidRPr="006A701C">
              <w:rPr>
                <w:rFonts w:eastAsia="標楷體" w:hAnsi="標楷體" w:hint="eastAsia"/>
                <w:sz w:val="28"/>
              </w:rPr>
              <w:t>部分現代服務業</w:t>
            </w:r>
          </w:p>
        </w:tc>
        <w:tc>
          <w:tcPr>
            <w:tcW w:w="1276" w:type="dxa"/>
            <w:vAlign w:val="center"/>
          </w:tcPr>
          <w:p w:rsidR="006A701C" w:rsidRPr="006A701C" w:rsidRDefault="00DB0C74" w:rsidP="006A701C">
            <w:pPr>
              <w:jc w:val="center"/>
              <w:rPr>
                <w:rFonts w:eastAsia="標楷體"/>
              </w:rPr>
            </w:pPr>
            <w:r w:rsidRPr="006A701C">
              <w:rPr>
                <w:rFonts w:eastAsia="標楷體" w:hAnsi="標楷體" w:hint="eastAsia"/>
              </w:rPr>
              <w:t>原稅率</w:t>
            </w:r>
          </w:p>
          <w:p w:rsidR="006A701C" w:rsidRPr="006A701C" w:rsidRDefault="00DB0C74" w:rsidP="006A701C">
            <w:pPr>
              <w:jc w:val="center"/>
              <w:rPr>
                <w:rFonts w:eastAsia="標楷體"/>
              </w:rPr>
            </w:pPr>
            <w:r w:rsidRPr="006A701C">
              <w:rPr>
                <w:rFonts w:eastAsia="標楷體"/>
              </w:rPr>
              <w:t>(</w:t>
            </w:r>
            <w:r w:rsidRPr="006A701C">
              <w:rPr>
                <w:rFonts w:eastAsia="標楷體" w:hAnsi="標楷體" w:hint="eastAsia"/>
              </w:rPr>
              <w:t>營業稅</w:t>
            </w:r>
            <w:r w:rsidRPr="006A701C">
              <w:rPr>
                <w:rFonts w:eastAsia="標楷體"/>
              </w:rPr>
              <w:t>)</w:t>
            </w:r>
          </w:p>
        </w:tc>
        <w:tc>
          <w:tcPr>
            <w:tcW w:w="1184" w:type="dxa"/>
            <w:vAlign w:val="center"/>
          </w:tcPr>
          <w:p w:rsidR="006A701C" w:rsidRPr="006A701C" w:rsidRDefault="00DB0C74" w:rsidP="006A701C">
            <w:pPr>
              <w:jc w:val="center"/>
              <w:rPr>
                <w:rFonts w:eastAsia="標楷體"/>
              </w:rPr>
            </w:pPr>
            <w:r w:rsidRPr="006A701C">
              <w:rPr>
                <w:rFonts w:eastAsia="標楷體" w:hAnsi="標楷體" w:hint="eastAsia"/>
              </w:rPr>
              <w:t>新稅率</w:t>
            </w:r>
          </w:p>
          <w:p w:rsidR="006A701C" w:rsidRPr="006A701C" w:rsidRDefault="00DB0C74" w:rsidP="006A701C">
            <w:pPr>
              <w:jc w:val="center"/>
              <w:rPr>
                <w:rFonts w:eastAsia="標楷體"/>
              </w:rPr>
            </w:pPr>
            <w:r w:rsidRPr="006A701C">
              <w:rPr>
                <w:rFonts w:eastAsia="標楷體"/>
              </w:rPr>
              <w:t>(</w:t>
            </w:r>
            <w:r w:rsidRPr="006A701C">
              <w:rPr>
                <w:rFonts w:eastAsia="標楷體" w:hAnsi="標楷體" w:hint="eastAsia"/>
              </w:rPr>
              <w:t>增值稅</w:t>
            </w:r>
            <w:r w:rsidRPr="006A701C">
              <w:rPr>
                <w:rFonts w:eastAsia="標楷體"/>
              </w:rPr>
              <w:t>)</w:t>
            </w: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研發和技術服務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研發和技術服務，包括研發服務、技術轉讓服務、技術諮詢服務、合同能源管理服務、工程勘察勘探服務。</w:t>
            </w:r>
          </w:p>
        </w:tc>
        <w:tc>
          <w:tcPr>
            <w:tcW w:w="1276" w:type="dxa"/>
            <w:vMerge w:val="restart"/>
            <w:vAlign w:val="center"/>
          </w:tcPr>
          <w:p w:rsidR="006A701C" w:rsidRPr="006A701C" w:rsidRDefault="00DB0C74" w:rsidP="006A701C">
            <w:pPr>
              <w:jc w:val="center"/>
              <w:rPr>
                <w:rFonts w:eastAsia="標楷體"/>
              </w:rPr>
            </w:pPr>
            <w:r w:rsidRPr="006A701C">
              <w:rPr>
                <w:rFonts w:eastAsia="標楷體"/>
              </w:rPr>
              <w:t>5%</w:t>
            </w:r>
          </w:p>
        </w:tc>
        <w:tc>
          <w:tcPr>
            <w:tcW w:w="1184" w:type="dxa"/>
            <w:vMerge w:val="restart"/>
            <w:vAlign w:val="center"/>
          </w:tcPr>
          <w:p w:rsidR="006A701C" w:rsidRPr="006A701C" w:rsidRDefault="00DB0C74" w:rsidP="006A701C">
            <w:pPr>
              <w:jc w:val="center"/>
              <w:rPr>
                <w:rFonts w:eastAsia="標楷體"/>
              </w:rPr>
            </w:pPr>
            <w:r w:rsidRPr="006A701C">
              <w:rPr>
                <w:rFonts w:eastAsia="標楷體"/>
              </w:rPr>
              <w:t>6%</w:t>
            </w: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資訊技術服務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資訊技術服務，是指利用電腦、通信網路等技術對資訊進行生產、收集、</w:t>
            </w:r>
            <w:r w:rsidRPr="006A701C">
              <w:rPr>
                <w:rFonts w:eastAsia="標楷體" w:hAnsi="標楷體" w:hint="eastAsia"/>
              </w:rPr>
              <w:lastRenderedPageBreak/>
              <w:t>處理、加工、存儲、運輸、檢索和利用，並提供資訊服務的業務活動。包括軟體服務、電路設計及測試服務、資訊系統服務和業務流程管理服務。</w:t>
            </w:r>
          </w:p>
        </w:tc>
        <w:tc>
          <w:tcPr>
            <w:tcW w:w="1276" w:type="dxa"/>
            <w:vMerge/>
            <w:vAlign w:val="center"/>
          </w:tcPr>
          <w:p w:rsidR="006A701C" w:rsidRPr="006A701C" w:rsidRDefault="006A701C" w:rsidP="006A701C">
            <w:pPr>
              <w:jc w:val="center"/>
              <w:rPr>
                <w:rFonts w:eastAsia="標楷體"/>
              </w:rPr>
            </w:pPr>
          </w:p>
        </w:tc>
        <w:tc>
          <w:tcPr>
            <w:tcW w:w="1184" w:type="dxa"/>
            <w:vMerge/>
            <w:vAlign w:val="center"/>
          </w:tcPr>
          <w:p w:rsidR="006A701C" w:rsidRPr="006A701C" w:rsidRDefault="006A701C" w:rsidP="006A701C">
            <w:pPr>
              <w:jc w:val="center"/>
              <w:rPr>
                <w:rFonts w:eastAsia="標楷體"/>
              </w:rPr>
            </w:pP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lastRenderedPageBreak/>
              <w:t>文化創意服務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文化創意服務，包括設計服務、商標著作權轉讓服務、智慧財產權服務、廣告服務和會議展覽服務。</w:t>
            </w:r>
          </w:p>
        </w:tc>
        <w:tc>
          <w:tcPr>
            <w:tcW w:w="1276" w:type="dxa"/>
            <w:vMerge/>
            <w:vAlign w:val="center"/>
          </w:tcPr>
          <w:p w:rsidR="006A701C" w:rsidRPr="006A701C" w:rsidRDefault="006A701C" w:rsidP="006A701C">
            <w:pPr>
              <w:jc w:val="center"/>
              <w:rPr>
                <w:rFonts w:eastAsia="標楷體"/>
              </w:rPr>
            </w:pPr>
          </w:p>
        </w:tc>
        <w:tc>
          <w:tcPr>
            <w:tcW w:w="1184" w:type="dxa"/>
            <w:vMerge/>
            <w:vAlign w:val="center"/>
          </w:tcPr>
          <w:p w:rsidR="006A701C" w:rsidRPr="006A701C" w:rsidRDefault="006A701C" w:rsidP="006A701C">
            <w:pPr>
              <w:jc w:val="center"/>
              <w:rPr>
                <w:rFonts w:eastAsia="標楷體"/>
              </w:rPr>
            </w:pP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物流輔助服務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物流輔助服務，包括航空服務、港口碼頭服務、貨運客運場站服務、打撈救助服務、貨物運輸代理服務、代理報關服務、倉儲服務和裝卸搬運服務。</w:t>
            </w:r>
          </w:p>
        </w:tc>
        <w:tc>
          <w:tcPr>
            <w:tcW w:w="1276" w:type="dxa"/>
            <w:vMerge/>
            <w:vAlign w:val="center"/>
          </w:tcPr>
          <w:p w:rsidR="006A701C" w:rsidRPr="006A701C" w:rsidRDefault="006A701C" w:rsidP="006A701C">
            <w:pPr>
              <w:jc w:val="center"/>
              <w:rPr>
                <w:rFonts w:eastAsia="標楷體"/>
              </w:rPr>
            </w:pPr>
          </w:p>
        </w:tc>
        <w:tc>
          <w:tcPr>
            <w:tcW w:w="1184" w:type="dxa"/>
            <w:vMerge/>
            <w:vAlign w:val="center"/>
          </w:tcPr>
          <w:p w:rsidR="006A701C" w:rsidRPr="006A701C" w:rsidRDefault="006A701C" w:rsidP="006A701C">
            <w:pPr>
              <w:jc w:val="center"/>
              <w:rPr>
                <w:rFonts w:eastAsia="標楷體"/>
              </w:rPr>
            </w:pP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鑒證諮詢服務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鑒證諮詢服務，包括認證服務、鑒證服務和諮詢服務。</w:t>
            </w:r>
          </w:p>
        </w:tc>
        <w:tc>
          <w:tcPr>
            <w:tcW w:w="1276" w:type="dxa"/>
            <w:vMerge/>
            <w:vAlign w:val="center"/>
          </w:tcPr>
          <w:p w:rsidR="006A701C" w:rsidRPr="006A701C" w:rsidRDefault="006A701C" w:rsidP="006A701C">
            <w:pPr>
              <w:jc w:val="center"/>
              <w:rPr>
                <w:rFonts w:eastAsia="標楷體"/>
              </w:rPr>
            </w:pPr>
          </w:p>
        </w:tc>
        <w:tc>
          <w:tcPr>
            <w:tcW w:w="1184" w:type="dxa"/>
            <w:vMerge/>
            <w:vAlign w:val="center"/>
          </w:tcPr>
          <w:p w:rsidR="006A701C" w:rsidRPr="006A701C" w:rsidRDefault="006A701C" w:rsidP="006A701C">
            <w:pPr>
              <w:jc w:val="center"/>
              <w:rPr>
                <w:rFonts w:eastAsia="標楷體"/>
              </w:rPr>
            </w:pP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有形動產租賃</w:t>
            </w:r>
          </w:p>
        </w:tc>
        <w:tc>
          <w:tcPr>
            <w:tcW w:w="4111" w:type="dxa"/>
            <w:vAlign w:val="center"/>
          </w:tcPr>
          <w:p w:rsidR="006A701C" w:rsidRPr="006A701C" w:rsidRDefault="00DB0C74" w:rsidP="006A701C">
            <w:pPr>
              <w:rPr>
                <w:rFonts w:eastAsia="標楷體"/>
              </w:rPr>
            </w:pPr>
            <w:r w:rsidRPr="006A701C">
              <w:rPr>
                <w:rFonts w:eastAsia="標楷體" w:hAnsi="標楷體" w:hint="eastAsia"/>
              </w:rPr>
              <w:t>有形動產租賃，包括有形動產融資租賃和有形動產經營性租賃。</w:t>
            </w:r>
          </w:p>
        </w:tc>
        <w:tc>
          <w:tcPr>
            <w:tcW w:w="1276" w:type="dxa"/>
            <w:vMerge/>
            <w:vAlign w:val="center"/>
          </w:tcPr>
          <w:p w:rsidR="006A701C" w:rsidRPr="006A701C" w:rsidRDefault="006A701C" w:rsidP="006A701C">
            <w:pPr>
              <w:jc w:val="center"/>
              <w:rPr>
                <w:rFonts w:eastAsia="標楷體"/>
              </w:rPr>
            </w:pPr>
          </w:p>
        </w:tc>
        <w:tc>
          <w:tcPr>
            <w:tcW w:w="1184" w:type="dxa"/>
            <w:vAlign w:val="center"/>
          </w:tcPr>
          <w:p w:rsidR="006A701C" w:rsidRPr="006A701C" w:rsidRDefault="00DB0C74" w:rsidP="006A701C">
            <w:pPr>
              <w:jc w:val="center"/>
              <w:rPr>
                <w:rFonts w:eastAsia="標楷體"/>
              </w:rPr>
            </w:pPr>
            <w:r w:rsidRPr="006A701C">
              <w:rPr>
                <w:rFonts w:eastAsia="標楷體"/>
              </w:rPr>
              <w:t>17%</w:t>
            </w:r>
          </w:p>
        </w:tc>
      </w:tr>
      <w:tr w:rsidR="006A701C" w:rsidRPr="006A701C" w:rsidTr="007B2AC6">
        <w:tc>
          <w:tcPr>
            <w:tcW w:w="6062" w:type="dxa"/>
            <w:gridSpan w:val="2"/>
            <w:vAlign w:val="center"/>
          </w:tcPr>
          <w:p w:rsidR="006A701C" w:rsidRPr="006A701C" w:rsidRDefault="00DB0C74" w:rsidP="006A701C">
            <w:pPr>
              <w:jc w:val="center"/>
              <w:rPr>
                <w:rFonts w:eastAsia="標楷體"/>
              </w:rPr>
            </w:pPr>
            <w:r w:rsidRPr="006A701C">
              <w:rPr>
                <w:rFonts w:eastAsia="標楷體" w:hAnsi="標楷體" w:hint="eastAsia"/>
                <w:sz w:val="28"/>
              </w:rPr>
              <w:t>後續擴增行業</w:t>
            </w:r>
          </w:p>
        </w:tc>
        <w:tc>
          <w:tcPr>
            <w:tcW w:w="1276" w:type="dxa"/>
            <w:vAlign w:val="center"/>
          </w:tcPr>
          <w:p w:rsidR="006A701C" w:rsidRPr="006A701C" w:rsidRDefault="00DB0C74" w:rsidP="006A701C">
            <w:pPr>
              <w:jc w:val="center"/>
              <w:rPr>
                <w:rFonts w:eastAsia="標楷體"/>
              </w:rPr>
            </w:pPr>
            <w:r w:rsidRPr="006A701C">
              <w:rPr>
                <w:rFonts w:eastAsia="標楷體" w:hAnsi="標楷體" w:hint="eastAsia"/>
              </w:rPr>
              <w:t>原稅率</w:t>
            </w:r>
          </w:p>
          <w:p w:rsidR="006A701C" w:rsidRPr="006A701C" w:rsidRDefault="00DB0C74" w:rsidP="006A701C">
            <w:pPr>
              <w:jc w:val="center"/>
              <w:rPr>
                <w:rFonts w:eastAsia="標楷體"/>
              </w:rPr>
            </w:pPr>
            <w:r w:rsidRPr="006A701C">
              <w:rPr>
                <w:rFonts w:eastAsia="標楷體"/>
              </w:rPr>
              <w:t>(</w:t>
            </w:r>
            <w:r w:rsidRPr="006A701C">
              <w:rPr>
                <w:rFonts w:eastAsia="標楷體" w:hAnsi="標楷體" w:hint="eastAsia"/>
              </w:rPr>
              <w:t>營業稅</w:t>
            </w:r>
            <w:r w:rsidRPr="006A701C">
              <w:rPr>
                <w:rFonts w:eastAsia="標楷體"/>
              </w:rPr>
              <w:t>)</w:t>
            </w:r>
          </w:p>
        </w:tc>
        <w:tc>
          <w:tcPr>
            <w:tcW w:w="1184" w:type="dxa"/>
            <w:vAlign w:val="center"/>
          </w:tcPr>
          <w:p w:rsidR="006A701C" w:rsidRPr="006A701C" w:rsidRDefault="00DB0C74" w:rsidP="006A701C">
            <w:pPr>
              <w:jc w:val="center"/>
              <w:rPr>
                <w:rFonts w:eastAsia="標楷體"/>
              </w:rPr>
            </w:pPr>
            <w:r w:rsidRPr="006A701C">
              <w:rPr>
                <w:rFonts w:eastAsia="標楷體" w:hAnsi="標楷體" w:hint="eastAsia"/>
              </w:rPr>
              <w:t>新稅率</w:t>
            </w:r>
          </w:p>
          <w:p w:rsidR="006A701C" w:rsidRPr="006A701C" w:rsidRDefault="00DB0C74" w:rsidP="006A701C">
            <w:pPr>
              <w:jc w:val="center"/>
              <w:rPr>
                <w:rFonts w:eastAsia="標楷體"/>
              </w:rPr>
            </w:pPr>
            <w:r w:rsidRPr="006A701C">
              <w:rPr>
                <w:rFonts w:eastAsia="標楷體"/>
              </w:rPr>
              <w:t>(</w:t>
            </w:r>
            <w:r w:rsidRPr="006A701C">
              <w:rPr>
                <w:rFonts w:eastAsia="標楷體" w:hAnsi="標楷體" w:hint="eastAsia"/>
              </w:rPr>
              <w:t>增值稅</w:t>
            </w:r>
            <w:r w:rsidRPr="006A701C">
              <w:rPr>
                <w:rFonts w:eastAsia="標楷體"/>
              </w:rPr>
              <w:t>)</w:t>
            </w: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color w:val="000000"/>
                <w:shd w:val="clear" w:color="auto" w:fill="FFFFFF"/>
              </w:rPr>
              <w:t>廣播影視服務</w:t>
            </w:r>
          </w:p>
        </w:tc>
        <w:tc>
          <w:tcPr>
            <w:tcW w:w="4111" w:type="dxa"/>
            <w:vAlign w:val="center"/>
          </w:tcPr>
          <w:p w:rsidR="006A701C" w:rsidRPr="006A701C" w:rsidRDefault="00DB0C74" w:rsidP="006A701C">
            <w:pPr>
              <w:rPr>
                <w:rFonts w:eastAsia="標楷體"/>
              </w:rPr>
            </w:pPr>
            <w:r w:rsidRPr="006A701C">
              <w:rPr>
                <w:rFonts w:eastAsia="標楷體" w:hAnsi="標楷體" w:hint="eastAsia"/>
                <w:color w:val="000000"/>
              </w:rPr>
              <w:t>廣播影視節目（作品）製作、播映、發行服務</w:t>
            </w:r>
          </w:p>
        </w:tc>
        <w:tc>
          <w:tcPr>
            <w:tcW w:w="1276" w:type="dxa"/>
            <w:vAlign w:val="center"/>
          </w:tcPr>
          <w:p w:rsidR="006A701C" w:rsidRPr="006A701C" w:rsidRDefault="00DB0C74" w:rsidP="006A701C">
            <w:pPr>
              <w:jc w:val="center"/>
              <w:rPr>
                <w:rFonts w:eastAsia="標楷體"/>
              </w:rPr>
            </w:pPr>
            <w:r w:rsidRPr="006A701C">
              <w:rPr>
                <w:rFonts w:eastAsia="標楷體"/>
              </w:rPr>
              <w:t>5%</w:t>
            </w:r>
          </w:p>
        </w:tc>
        <w:tc>
          <w:tcPr>
            <w:tcW w:w="1184" w:type="dxa"/>
            <w:vAlign w:val="center"/>
          </w:tcPr>
          <w:p w:rsidR="006A701C" w:rsidRPr="006A701C" w:rsidRDefault="00DB0C74" w:rsidP="006A701C">
            <w:pPr>
              <w:jc w:val="center"/>
              <w:rPr>
                <w:rFonts w:eastAsia="標楷體"/>
              </w:rPr>
            </w:pPr>
            <w:r w:rsidRPr="006A701C">
              <w:rPr>
                <w:rFonts w:eastAsia="標楷體"/>
              </w:rPr>
              <w:t>6%</w:t>
            </w:r>
          </w:p>
        </w:tc>
      </w:tr>
      <w:tr w:rsidR="006A701C" w:rsidRPr="006A701C" w:rsidTr="007B2AC6">
        <w:tc>
          <w:tcPr>
            <w:tcW w:w="1951" w:type="dxa"/>
            <w:vAlign w:val="center"/>
          </w:tcPr>
          <w:p w:rsidR="006A701C" w:rsidRPr="006A701C" w:rsidRDefault="00DB0C74" w:rsidP="006A701C">
            <w:pPr>
              <w:rPr>
                <w:rFonts w:eastAsia="標楷體"/>
                <w:color w:val="000000"/>
                <w:shd w:val="clear" w:color="auto" w:fill="FFFFFF"/>
              </w:rPr>
            </w:pPr>
            <w:r w:rsidRPr="006A701C">
              <w:rPr>
                <w:rFonts w:eastAsia="標楷體" w:hAnsi="標楷體" w:hint="eastAsia"/>
                <w:color w:val="000000"/>
                <w:shd w:val="clear" w:color="auto" w:fill="FFFFFF"/>
              </w:rPr>
              <w:t>鐵路運輸</w:t>
            </w:r>
          </w:p>
        </w:tc>
        <w:tc>
          <w:tcPr>
            <w:tcW w:w="4111" w:type="dxa"/>
            <w:vAlign w:val="center"/>
          </w:tcPr>
          <w:p w:rsidR="006A701C" w:rsidRPr="006A701C" w:rsidRDefault="00DB0C74" w:rsidP="006A701C">
            <w:pPr>
              <w:rPr>
                <w:rFonts w:eastAsia="標楷體"/>
              </w:rPr>
            </w:pPr>
            <w:r w:rsidRPr="006A701C">
              <w:rPr>
                <w:rFonts w:eastAsia="標楷體" w:hAnsi="標楷體" w:hint="eastAsia"/>
              </w:rPr>
              <w:t>原未試點之陸運運輸服務</w:t>
            </w:r>
          </w:p>
        </w:tc>
        <w:tc>
          <w:tcPr>
            <w:tcW w:w="1276" w:type="dxa"/>
            <w:vAlign w:val="center"/>
          </w:tcPr>
          <w:p w:rsidR="006A701C" w:rsidRPr="006A701C" w:rsidRDefault="00DB0C74" w:rsidP="006A701C">
            <w:pPr>
              <w:jc w:val="center"/>
              <w:rPr>
                <w:rFonts w:eastAsia="標楷體"/>
              </w:rPr>
            </w:pPr>
            <w:r w:rsidRPr="006A701C">
              <w:rPr>
                <w:rFonts w:eastAsia="標楷體"/>
              </w:rPr>
              <w:t>3%</w:t>
            </w:r>
          </w:p>
        </w:tc>
        <w:tc>
          <w:tcPr>
            <w:tcW w:w="1184" w:type="dxa"/>
            <w:vAlign w:val="center"/>
          </w:tcPr>
          <w:p w:rsidR="006A701C" w:rsidRPr="006A701C" w:rsidRDefault="00DB0C74" w:rsidP="006A701C">
            <w:pPr>
              <w:jc w:val="center"/>
              <w:rPr>
                <w:rFonts w:eastAsia="標楷體"/>
              </w:rPr>
            </w:pPr>
            <w:r w:rsidRPr="006A701C">
              <w:rPr>
                <w:rFonts w:eastAsia="標楷體"/>
              </w:rPr>
              <w:t>11%</w:t>
            </w: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郵政業</w:t>
            </w:r>
          </w:p>
        </w:tc>
        <w:tc>
          <w:tcPr>
            <w:tcW w:w="4111" w:type="dxa"/>
            <w:vAlign w:val="center"/>
          </w:tcPr>
          <w:p w:rsidR="006A701C" w:rsidRPr="006A701C" w:rsidRDefault="00DB0C74" w:rsidP="006A701C">
            <w:pPr>
              <w:rPr>
                <w:rFonts w:eastAsia="標楷體"/>
              </w:rPr>
            </w:pPr>
            <w:r w:rsidRPr="006A701C">
              <w:rPr>
                <w:rFonts w:eastAsia="標楷體" w:hAnsi="標楷體" w:hint="eastAsia"/>
                <w:kern w:val="0"/>
              </w:rPr>
              <w:t>郵件寄遞、郵政匯兌、機要通信和郵政代理</w:t>
            </w:r>
          </w:p>
        </w:tc>
        <w:tc>
          <w:tcPr>
            <w:tcW w:w="1276" w:type="dxa"/>
            <w:vAlign w:val="center"/>
          </w:tcPr>
          <w:p w:rsidR="006A701C" w:rsidRPr="006A701C" w:rsidRDefault="00DB0C74" w:rsidP="006A701C">
            <w:pPr>
              <w:jc w:val="center"/>
              <w:rPr>
                <w:rFonts w:eastAsia="標楷體"/>
              </w:rPr>
            </w:pPr>
            <w:r w:rsidRPr="006A701C">
              <w:rPr>
                <w:rFonts w:eastAsia="標楷體"/>
              </w:rPr>
              <w:t>3%</w:t>
            </w:r>
          </w:p>
        </w:tc>
        <w:tc>
          <w:tcPr>
            <w:tcW w:w="1184" w:type="dxa"/>
            <w:vAlign w:val="center"/>
          </w:tcPr>
          <w:p w:rsidR="006A701C" w:rsidRPr="006A701C" w:rsidRDefault="00DB0C74" w:rsidP="006A701C">
            <w:pPr>
              <w:jc w:val="center"/>
              <w:rPr>
                <w:rFonts w:eastAsia="標楷體"/>
              </w:rPr>
            </w:pPr>
            <w:r w:rsidRPr="006A701C">
              <w:rPr>
                <w:rFonts w:eastAsia="標楷體"/>
              </w:rPr>
              <w:t>11%</w:t>
            </w: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電信業</w:t>
            </w:r>
          </w:p>
          <w:p w:rsidR="006A701C" w:rsidRPr="006A701C" w:rsidRDefault="00DB0C74" w:rsidP="006A701C">
            <w:pPr>
              <w:rPr>
                <w:rFonts w:eastAsia="標楷體"/>
              </w:rPr>
            </w:pPr>
            <w:r w:rsidRPr="006A701C">
              <w:rPr>
                <w:rFonts w:eastAsia="標楷體"/>
              </w:rPr>
              <w:t>-</w:t>
            </w:r>
            <w:r w:rsidRPr="006A701C">
              <w:rPr>
                <w:rFonts w:eastAsia="標楷體" w:hAnsi="標楷體" w:hint="eastAsia"/>
              </w:rPr>
              <w:t>基礎電信服務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是指利用固網、移動網、衛星、互聯網，提供語音通話服務的業務活動，以及出租或者出售頻寬、波長等網路元素的業務活動。</w:t>
            </w:r>
          </w:p>
        </w:tc>
        <w:tc>
          <w:tcPr>
            <w:tcW w:w="1276" w:type="dxa"/>
            <w:vAlign w:val="center"/>
          </w:tcPr>
          <w:p w:rsidR="006A701C" w:rsidRPr="006A701C" w:rsidRDefault="00DB0C74" w:rsidP="006A701C">
            <w:pPr>
              <w:jc w:val="center"/>
              <w:rPr>
                <w:rFonts w:eastAsia="標楷體"/>
              </w:rPr>
            </w:pPr>
            <w:r w:rsidRPr="006A701C">
              <w:rPr>
                <w:rFonts w:eastAsia="標楷體"/>
              </w:rPr>
              <w:t>3%</w:t>
            </w:r>
          </w:p>
        </w:tc>
        <w:tc>
          <w:tcPr>
            <w:tcW w:w="1184" w:type="dxa"/>
            <w:vAlign w:val="center"/>
          </w:tcPr>
          <w:p w:rsidR="006A701C" w:rsidRPr="006A701C" w:rsidRDefault="00DB0C74" w:rsidP="006A701C">
            <w:pPr>
              <w:jc w:val="center"/>
              <w:rPr>
                <w:rFonts w:eastAsia="標楷體"/>
              </w:rPr>
            </w:pPr>
            <w:r w:rsidRPr="006A701C">
              <w:rPr>
                <w:rFonts w:eastAsia="標楷體"/>
              </w:rPr>
              <w:t>11%</w:t>
            </w:r>
          </w:p>
        </w:tc>
      </w:tr>
      <w:tr w:rsidR="006A701C" w:rsidRPr="006A701C" w:rsidTr="007B2AC6">
        <w:tc>
          <w:tcPr>
            <w:tcW w:w="1951" w:type="dxa"/>
            <w:vAlign w:val="center"/>
          </w:tcPr>
          <w:p w:rsidR="006A701C" w:rsidRPr="006A701C" w:rsidRDefault="00DB0C74" w:rsidP="006A701C">
            <w:pPr>
              <w:rPr>
                <w:rFonts w:eastAsia="標楷體"/>
              </w:rPr>
            </w:pPr>
            <w:r w:rsidRPr="006A701C">
              <w:rPr>
                <w:rFonts w:eastAsia="標楷體" w:hAnsi="標楷體" w:hint="eastAsia"/>
              </w:rPr>
              <w:t>電信業</w:t>
            </w:r>
          </w:p>
          <w:p w:rsidR="006A701C" w:rsidRPr="006A701C" w:rsidRDefault="00DB0C74" w:rsidP="006A701C">
            <w:pPr>
              <w:rPr>
                <w:rFonts w:eastAsia="標楷體"/>
              </w:rPr>
            </w:pPr>
            <w:r w:rsidRPr="006A701C">
              <w:rPr>
                <w:rFonts w:eastAsia="標楷體"/>
              </w:rPr>
              <w:t>-</w:t>
            </w:r>
            <w:r w:rsidRPr="006A701C">
              <w:rPr>
                <w:rFonts w:eastAsia="標楷體" w:hAnsi="標楷體" w:hint="eastAsia"/>
              </w:rPr>
              <w:t>增值電信服務</w:t>
            </w:r>
          </w:p>
        </w:tc>
        <w:tc>
          <w:tcPr>
            <w:tcW w:w="4111" w:type="dxa"/>
            <w:vAlign w:val="center"/>
          </w:tcPr>
          <w:p w:rsidR="006A701C" w:rsidRPr="006A701C" w:rsidRDefault="00DB0C74" w:rsidP="006A701C">
            <w:pPr>
              <w:rPr>
                <w:rFonts w:eastAsia="標楷體"/>
              </w:rPr>
            </w:pPr>
            <w:r w:rsidRPr="006A701C">
              <w:rPr>
                <w:rFonts w:eastAsia="標楷體" w:hAnsi="標楷體" w:hint="eastAsia"/>
              </w:rPr>
              <w:t>是指利用固網、移動網、衛星、互聯網、有線電視網路，提供短信和彩信服務、電子資料和資訊的傳輸及應用服務、互聯網接入服務等業務活動。衛星電視信號落地轉接服務，按照增值電信服務計算繳納增值稅。</w:t>
            </w:r>
          </w:p>
        </w:tc>
        <w:tc>
          <w:tcPr>
            <w:tcW w:w="1276" w:type="dxa"/>
            <w:vAlign w:val="center"/>
          </w:tcPr>
          <w:p w:rsidR="006A701C" w:rsidRPr="006A701C" w:rsidRDefault="00DB0C74" w:rsidP="006A701C">
            <w:pPr>
              <w:jc w:val="center"/>
              <w:rPr>
                <w:rFonts w:eastAsia="標楷體"/>
              </w:rPr>
            </w:pPr>
            <w:r w:rsidRPr="006A701C">
              <w:rPr>
                <w:rFonts w:eastAsia="標楷體"/>
              </w:rPr>
              <w:t>3%</w:t>
            </w:r>
          </w:p>
        </w:tc>
        <w:tc>
          <w:tcPr>
            <w:tcW w:w="1184" w:type="dxa"/>
            <w:vAlign w:val="center"/>
          </w:tcPr>
          <w:p w:rsidR="006A701C" w:rsidRPr="006A701C" w:rsidRDefault="00DB0C74" w:rsidP="006A701C">
            <w:pPr>
              <w:jc w:val="center"/>
              <w:rPr>
                <w:rFonts w:eastAsia="標楷體"/>
              </w:rPr>
            </w:pPr>
            <w:r w:rsidRPr="006A701C">
              <w:rPr>
                <w:rFonts w:eastAsia="標楷體"/>
              </w:rPr>
              <w:t>6%</w:t>
            </w:r>
          </w:p>
        </w:tc>
      </w:tr>
    </w:tbl>
    <w:p w:rsidR="006A701C" w:rsidRPr="006A701C" w:rsidRDefault="00DB0C74" w:rsidP="006A701C">
      <w:pPr>
        <w:rPr>
          <w:rFonts w:ascii="標楷體" w:eastAsia="標楷體" w:hAnsi="標楷體"/>
          <w:sz w:val="20"/>
          <w:szCs w:val="20"/>
        </w:rPr>
      </w:pPr>
      <w:r w:rsidRPr="006A701C">
        <w:rPr>
          <w:rFonts w:ascii="標楷體" w:eastAsia="標楷體" w:hAnsi="標楷體" w:hint="eastAsia"/>
          <w:sz w:val="20"/>
          <w:szCs w:val="20"/>
        </w:rPr>
        <w:t>資料來源</w:t>
      </w:r>
      <w:r w:rsidRPr="006A701C">
        <w:rPr>
          <w:rFonts w:ascii="標楷體" w:eastAsia="標楷體" w:hAnsi="標楷體"/>
          <w:sz w:val="20"/>
          <w:szCs w:val="20"/>
        </w:rPr>
        <w:t>:</w:t>
      </w:r>
      <w:r w:rsidRPr="006A701C">
        <w:rPr>
          <w:rFonts w:ascii="Calibri" w:hAnsi="Calibri"/>
          <w:sz w:val="20"/>
          <w:szCs w:val="20"/>
        </w:rPr>
        <w:t xml:space="preserve"> </w:t>
      </w:r>
      <w:r w:rsidRPr="006A701C">
        <w:rPr>
          <w:rFonts w:ascii="新細明體" w:hAnsi="新細明體" w:hint="eastAsia"/>
          <w:sz w:val="20"/>
          <w:szCs w:val="20"/>
        </w:rPr>
        <w:t>《</w:t>
      </w:r>
      <w:r w:rsidRPr="006A701C">
        <w:rPr>
          <w:rFonts w:ascii="標楷體" w:eastAsia="標楷體" w:hAnsi="標楷體" w:hint="eastAsia"/>
          <w:sz w:val="20"/>
          <w:szCs w:val="20"/>
        </w:rPr>
        <w:t>營業稅改徵增值稅試點實施辦法</w:t>
      </w:r>
      <w:r w:rsidRPr="006A701C">
        <w:rPr>
          <w:rFonts w:ascii="新細明體" w:hAnsi="新細明體" w:hint="eastAsia"/>
          <w:sz w:val="20"/>
          <w:szCs w:val="20"/>
        </w:rPr>
        <w:t>》</w:t>
      </w:r>
      <w:r w:rsidRPr="006A701C">
        <w:rPr>
          <w:rFonts w:ascii="標楷體" w:eastAsia="標楷體" w:hAnsi="標楷體" w:hint="eastAsia"/>
          <w:sz w:val="20"/>
          <w:szCs w:val="20"/>
        </w:rPr>
        <w:t>應稅服務範圍注釋。本研究整理。</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若單純就稅率來看，服務業在課徵營業稅下的稅率多為</w:t>
      </w:r>
      <w:r w:rsidRPr="006A701C">
        <w:rPr>
          <w:rFonts w:eastAsia="標楷體"/>
          <w:sz w:val="26"/>
        </w:rPr>
        <w:t>3%-5%</w:t>
      </w:r>
      <w:r w:rsidRPr="006A701C">
        <w:rPr>
          <w:rFonts w:eastAsia="標楷體" w:hint="eastAsia"/>
          <w:sz w:val="26"/>
        </w:rPr>
        <w:t>，而改徵增值稅後稅率依產業的不同增至</w:t>
      </w:r>
      <w:r w:rsidRPr="006A701C">
        <w:rPr>
          <w:rFonts w:eastAsia="標楷體"/>
          <w:sz w:val="26"/>
        </w:rPr>
        <w:t>6%-17%</w:t>
      </w:r>
      <w:r w:rsidRPr="006A701C">
        <w:rPr>
          <w:rFonts w:eastAsia="標楷體" w:hint="eastAsia"/>
          <w:sz w:val="26"/>
        </w:rPr>
        <w:t>，雖然稅率看似提升，但其稅基不同，不能直接相比，且若將增值稅的進項抵扣特性納入考量，則實際</w:t>
      </w:r>
      <w:r w:rsidRPr="006A701C">
        <w:rPr>
          <w:rFonts w:eastAsia="標楷體" w:hint="eastAsia"/>
          <w:sz w:val="26"/>
        </w:rPr>
        <w:lastRenderedPageBreak/>
        <w:t>稅負的增或減則會依產業結構的不同而有所差異。</w:t>
      </w:r>
    </w:p>
    <w:p w:rsidR="006A701C" w:rsidRPr="006A701C" w:rsidRDefault="00796180" w:rsidP="006A701C">
      <w:pPr>
        <w:spacing w:beforeLines="50" w:before="180" w:afterLines="50" w:after="180" w:line="360" w:lineRule="auto"/>
        <w:rPr>
          <w:rFonts w:ascii="標楷體" w:eastAsia="標楷體" w:hAnsi="標楷體"/>
          <w:szCs w:val="22"/>
        </w:rPr>
      </w:pPr>
      <w:r>
        <w:rPr>
          <w:rFonts w:ascii="標楷體" w:eastAsia="標楷體" w:hAnsi="標楷體"/>
          <w:noProof/>
          <w:szCs w:val="22"/>
        </w:rPr>
        <w:drawing>
          <wp:inline distT="0" distB="0" distL="0" distR="0">
            <wp:extent cx="5281930" cy="4749165"/>
            <wp:effectExtent l="0" t="0" r="0" b="0"/>
            <wp:docPr id="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1930" cy="4749165"/>
                    </a:xfrm>
                    <a:prstGeom prst="rect">
                      <a:avLst/>
                    </a:prstGeom>
                    <a:noFill/>
                    <a:ln>
                      <a:noFill/>
                    </a:ln>
                  </pic:spPr>
                </pic:pic>
              </a:graphicData>
            </a:graphic>
          </wp:inline>
        </w:drawing>
      </w:r>
    </w:p>
    <w:p w:rsidR="006A701C" w:rsidRPr="006A701C" w:rsidRDefault="00DB0C74" w:rsidP="006A701C">
      <w:pPr>
        <w:spacing w:afterLines="50" w:after="180"/>
        <w:ind w:firstLine="482"/>
        <w:rPr>
          <w:rFonts w:eastAsia="標楷體"/>
          <w:sz w:val="20"/>
          <w:szCs w:val="22"/>
        </w:rPr>
      </w:pPr>
      <w:r w:rsidRPr="006A701C">
        <w:rPr>
          <w:rFonts w:eastAsia="標楷體" w:hint="eastAsia"/>
          <w:sz w:val="20"/>
          <w:szCs w:val="22"/>
        </w:rPr>
        <w:t>資料來源</w:t>
      </w:r>
      <w:r w:rsidRPr="006A701C">
        <w:rPr>
          <w:rFonts w:eastAsia="標楷體"/>
          <w:sz w:val="20"/>
          <w:szCs w:val="22"/>
        </w:rPr>
        <w:t xml:space="preserve">: </w:t>
      </w:r>
      <w:r w:rsidRPr="006A701C">
        <w:rPr>
          <w:rFonts w:ascii="標楷體" w:eastAsia="標楷體" w:hAnsi="標楷體" w:hint="eastAsia"/>
          <w:sz w:val="20"/>
          <w:szCs w:val="22"/>
        </w:rPr>
        <w:t>「</w:t>
      </w:r>
      <w:r w:rsidRPr="006A701C">
        <w:rPr>
          <w:rFonts w:eastAsia="標楷體" w:hint="eastAsia"/>
          <w:sz w:val="20"/>
          <w:szCs w:val="22"/>
        </w:rPr>
        <w:t>營改增及其對稅負的影響</w:t>
      </w:r>
      <w:r w:rsidRPr="006A701C">
        <w:rPr>
          <w:rFonts w:ascii="標楷體" w:eastAsia="標楷體" w:hAnsi="標楷體" w:hint="eastAsia"/>
          <w:sz w:val="20"/>
          <w:szCs w:val="22"/>
        </w:rPr>
        <w:t>」，《</w:t>
      </w:r>
      <w:r w:rsidRPr="006A701C">
        <w:rPr>
          <w:rFonts w:eastAsia="標楷體" w:hint="eastAsia"/>
          <w:sz w:val="20"/>
          <w:szCs w:val="22"/>
        </w:rPr>
        <w:t>創富之道</w:t>
      </w:r>
      <w:r w:rsidRPr="006A701C">
        <w:rPr>
          <w:rFonts w:ascii="標楷體" w:eastAsia="標楷體" w:hAnsi="標楷體" w:hint="eastAsia"/>
          <w:sz w:val="20"/>
          <w:szCs w:val="22"/>
        </w:rPr>
        <w:t>》</w:t>
      </w:r>
      <w:r w:rsidRPr="006A701C">
        <w:rPr>
          <w:rFonts w:eastAsia="標楷體" w:hint="eastAsia"/>
          <w:sz w:val="20"/>
          <w:szCs w:val="22"/>
        </w:rPr>
        <w:t>，</w:t>
      </w:r>
      <w:r w:rsidRPr="006A701C">
        <w:rPr>
          <w:rFonts w:eastAsia="標楷體"/>
          <w:sz w:val="20"/>
          <w:szCs w:val="22"/>
        </w:rPr>
        <w:t>2013</w:t>
      </w:r>
      <w:r w:rsidRPr="006A701C">
        <w:rPr>
          <w:rFonts w:eastAsia="標楷體" w:hint="eastAsia"/>
          <w:sz w:val="20"/>
          <w:szCs w:val="22"/>
        </w:rPr>
        <w:t>年</w:t>
      </w:r>
      <w:r w:rsidRPr="006A701C">
        <w:rPr>
          <w:rFonts w:eastAsia="標楷體"/>
          <w:sz w:val="20"/>
          <w:szCs w:val="22"/>
        </w:rPr>
        <w:t>2</w:t>
      </w:r>
      <w:r w:rsidRPr="006A701C">
        <w:rPr>
          <w:rFonts w:eastAsia="標楷體" w:hint="eastAsia"/>
          <w:sz w:val="20"/>
          <w:szCs w:val="22"/>
        </w:rPr>
        <w:t>月</w:t>
      </w:r>
    </w:p>
    <w:p w:rsidR="006A701C" w:rsidRPr="00032EE2" w:rsidRDefault="00DB0C74" w:rsidP="00032EE2">
      <w:pPr>
        <w:pStyle w:val="af0"/>
      </w:pPr>
      <w:bookmarkStart w:id="42" w:name="_Toc405462628"/>
      <w:r w:rsidRPr="00032EE2">
        <w:rPr>
          <w:rFonts w:hint="eastAsia"/>
        </w:rPr>
        <w:t>圖</w:t>
      </w:r>
      <w:r>
        <w:t>3-</w:t>
      </w:r>
      <w:r w:rsidR="000A209D">
        <w:rPr>
          <w:rFonts w:hint="eastAsia"/>
          <w:lang w:eastAsia="zh-TW"/>
        </w:rPr>
        <w:t>5</w:t>
      </w:r>
      <w:r>
        <w:t xml:space="preserve">  </w:t>
      </w:r>
      <w:r w:rsidRPr="00032EE2">
        <w:rPr>
          <w:rFonts w:hint="eastAsia"/>
        </w:rPr>
        <w:t>營改增實施前後稅負變化示意案例</w:t>
      </w:r>
      <w:bookmarkEnd w:id="42"/>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針對營業稅改徵增值稅後對企業的影響我們可由圖</w:t>
      </w:r>
      <w:r w:rsidRPr="006A701C">
        <w:rPr>
          <w:rFonts w:eastAsia="標楷體"/>
          <w:sz w:val="26"/>
        </w:rPr>
        <w:t>3-</w:t>
      </w:r>
      <w:r w:rsidR="000A209D">
        <w:rPr>
          <w:rFonts w:eastAsia="標楷體" w:hint="eastAsia"/>
          <w:sz w:val="26"/>
        </w:rPr>
        <w:t>5</w:t>
      </w:r>
      <w:r w:rsidRPr="006A701C">
        <w:rPr>
          <w:rFonts w:eastAsia="標楷體" w:hint="eastAsia"/>
          <w:sz w:val="26"/>
        </w:rPr>
        <w:t>的例子進行說明。圖中</w:t>
      </w:r>
      <w:r w:rsidRPr="006A701C">
        <w:rPr>
          <w:rFonts w:eastAsia="標楷體"/>
          <w:sz w:val="26"/>
        </w:rPr>
        <w:t>A</w:t>
      </w:r>
      <w:r w:rsidRPr="006A701C">
        <w:rPr>
          <w:rFonts w:eastAsia="標楷體" w:hint="eastAsia"/>
          <w:sz w:val="26"/>
        </w:rPr>
        <w:t>與</w:t>
      </w:r>
      <w:r w:rsidRPr="006A701C">
        <w:rPr>
          <w:rFonts w:eastAsia="標楷體"/>
          <w:sz w:val="26"/>
        </w:rPr>
        <w:t>B</w:t>
      </w:r>
      <w:r w:rsidRPr="006A701C">
        <w:rPr>
          <w:rFonts w:eastAsia="標楷體" w:hint="eastAsia"/>
          <w:sz w:val="26"/>
        </w:rPr>
        <w:t>分別為服務提供者，即本章中之生產性服務業者，兩者處於生產供應鏈之不同位置。</w:t>
      </w:r>
      <w:r w:rsidRPr="006A701C">
        <w:rPr>
          <w:rFonts w:eastAsia="標楷體"/>
          <w:sz w:val="26"/>
        </w:rPr>
        <w:t>C</w:t>
      </w:r>
      <w:r w:rsidRPr="006A701C">
        <w:rPr>
          <w:rFonts w:eastAsia="標楷體" w:hint="eastAsia"/>
          <w:sz w:val="26"/>
        </w:rPr>
        <w:t>此服務供應鏈下遊的製造商，接受服務後生產貨物給最終客戶</w:t>
      </w:r>
      <w:r w:rsidRPr="006A701C">
        <w:rPr>
          <w:rFonts w:eastAsia="標楷體"/>
          <w:sz w:val="26"/>
        </w:rPr>
        <w:t>D</w:t>
      </w:r>
      <w:r w:rsidRPr="006A701C">
        <w:rPr>
          <w:rFonts w:eastAsia="標楷體" w:hint="eastAsia"/>
          <w:sz w:val="26"/>
        </w:rPr>
        <w:t>。在營改增之前，</w:t>
      </w:r>
      <w:r w:rsidRPr="006A701C">
        <w:rPr>
          <w:rFonts w:eastAsia="標楷體"/>
          <w:sz w:val="26"/>
        </w:rPr>
        <w:t>A</w:t>
      </w:r>
      <w:r w:rsidRPr="006A701C">
        <w:rPr>
          <w:rFonts w:eastAsia="標楷體" w:hint="eastAsia"/>
          <w:sz w:val="26"/>
        </w:rPr>
        <w:t>與</w:t>
      </w:r>
      <w:r w:rsidRPr="006A701C">
        <w:rPr>
          <w:rFonts w:eastAsia="標楷體"/>
          <w:sz w:val="26"/>
        </w:rPr>
        <w:t>B</w:t>
      </w:r>
      <w:r w:rsidRPr="006A701C">
        <w:rPr>
          <w:rFonts w:eastAsia="標楷體" w:hint="eastAsia"/>
          <w:sz w:val="26"/>
        </w:rPr>
        <w:t>需負擔</w:t>
      </w:r>
      <w:r w:rsidRPr="006A701C">
        <w:rPr>
          <w:rFonts w:eastAsia="標楷體"/>
          <w:sz w:val="26"/>
        </w:rPr>
        <w:t>5%</w:t>
      </w:r>
      <w:r w:rsidRPr="006A701C">
        <w:rPr>
          <w:rFonts w:eastAsia="標楷體" w:hint="eastAsia"/>
          <w:sz w:val="26"/>
        </w:rPr>
        <w:t>的營業稅額，因此所需繳納稅負為</w:t>
      </w:r>
      <w:r w:rsidRPr="006A701C">
        <w:rPr>
          <w:rFonts w:eastAsia="標楷體"/>
          <w:sz w:val="26"/>
        </w:rPr>
        <w:t>2.5</w:t>
      </w:r>
      <w:r w:rsidRPr="006A701C">
        <w:rPr>
          <w:rFonts w:eastAsia="標楷體" w:hint="eastAsia"/>
          <w:sz w:val="26"/>
        </w:rPr>
        <w:t>與</w:t>
      </w:r>
      <w:r w:rsidRPr="006A701C">
        <w:rPr>
          <w:rFonts w:eastAsia="標楷體"/>
          <w:sz w:val="26"/>
        </w:rPr>
        <w:t>4</w:t>
      </w:r>
      <w:r w:rsidRPr="006A701C">
        <w:rPr>
          <w:rFonts w:eastAsia="標楷體" w:hint="eastAsia"/>
          <w:sz w:val="26"/>
        </w:rPr>
        <w:t>；同時，</w:t>
      </w:r>
      <w:r w:rsidRPr="006A701C">
        <w:rPr>
          <w:rFonts w:eastAsia="標楷體"/>
          <w:sz w:val="26"/>
        </w:rPr>
        <w:t>C</w:t>
      </w:r>
      <w:r w:rsidRPr="006A701C">
        <w:rPr>
          <w:rFonts w:eastAsia="標楷體" w:hint="eastAsia"/>
          <w:sz w:val="26"/>
        </w:rPr>
        <w:t>為製造業因此繳納</w:t>
      </w:r>
      <w:r w:rsidRPr="006A701C">
        <w:rPr>
          <w:rFonts w:eastAsia="標楷體"/>
          <w:sz w:val="26"/>
        </w:rPr>
        <w:t>17%</w:t>
      </w:r>
      <w:r w:rsidRPr="006A701C">
        <w:rPr>
          <w:rFonts w:eastAsia="標楷體" w:hint="eastAsia"/>
          <w:sz w:val="26"/>
        </w:rPr>
        <w:t>之增值稅，因服務業並未納入增值稅體系，因此</w:t>
      </w:r>
      <w:r w:rsidRPr="006A701C">
        <w:rPr>
          <w:rFonts w:eastAsia="標楷體"/>
          <w:sz w:val="26"/>
        </w:rPr>
        <w:t>C</w:t>
      </w:r>
      <w:r w:rsidRPr="006A701C">
        <w:rPr>
          <w:rFonts w:eastAsia="標楷體" w:hint="eastAsia"/>
          <w:sz w:val="26"/>
        </w:rPr>
        <w:t>無法就從</w:t>
      </w:r>
      <w:r w:rsidRPr="006A701C">
        <w:rPr>
          <w:rFonts w:eastAsia="標楷體"/>
          <w:sz w:val="26"/>
        </w:rPr>
        <w:t>B</w:t>
      </w:r>
      <w:r w:rsidRPr="006A701C">
        <w:rPr>
          <w:rFonts w:eastAsia="標楷體" w:hint="eastAsia"/>
          <w:sz w:val="26"/>
        </w:rPr>
        <w:t>得到之服務做進項抵扣。此時，市場上所需繳納的稅額為</w:t>
      </w:r>
      <w:r w:rsidRPr="006A701C">
        <w:rPr>
          <w:rFonts w:eastAsia="標楷體"/>
          <w:sz w:val="26"/>
        </w:rPr>
        <w:t>23.5</w:t>
      </w:r>
      <w:r w:rsidRPr="006A701C">
        <w:rPr>
          <w:rFonts w:eastAsia="標楷體" w:hint="eastAsia"/>
          <w:sz w:val="26"/>
        </w:rPr>
        <w:t>。在營改增之後，服務業</w:t>
      </w:r>
      <w:r w:rsidRPr="006A701C">
        <w:rPr>
          <w:rFonts w:eastAsia="標楷體"/>
          <w:sz w:val="26"/>
        </w:rPr>
        <w:t>(A</w:t>
      </w:r>
      <w:r w:rsidRPr="006A701C">
        <w:rPr>
          <w:rFonts w:eastAsia="標楷體" w:hint="eastAsia"/>
          <w:sz w:val="26"/>
        </w:rPr>
        <w:t>、</w:t>
      </w:r>
      <w:r w:rsidRPr="006A701C">
        <w:rPr>
          <w:rFonts w:eastAsia="標楷體"/>
          <w:sz w:val="26"/>
        </w:rPr>
        <w:t>B)</w:t>
      </w:r>
      <w:r w:rsidRPr="006A701C">
        <w:rPr>
          <w:rFonts w:eastAsia="標楷體" w:hint="eastAsia"/>
          <w:sz w:val="26"/>
        </w:rPr>
        <w:t>改徵</w:t>
      </w:r>
      <w:r w:rsidRPr="006A701C">
        <w:rPr>
          <w:rFonts w:eastAsia="標楷體"/>
          <w:sz w:val="26"/>
        </w:rPr>
        <w:lastRenderedPageBreak/>
        <w:t>6%</w:t>
      </w:r>
      <w:r w:rsidRPr="006A701C">
        <w:rPr>
          <w:rFonts w:eastAsia="標楷體" w:hint="eastAsia"/>
          <w:sz w:val="26"/>
        </w:rPr>
        <w:t>之增值稅，</w:t>
      </w:r>
      <w:r w:rsidRPr="006A701C">
        <w:rPr>
          <w:rFonts w:eastAsia="標楷體"/>
          <w:sz w:val="26"/>
        </w:rPr>
        <w:t>A</w:t>
      </w:r>
      <w:r w:rsidRPr="006A701C">
        <w:rPr>
          <w:rFonts w:eastAsia="標楷體" w:hint="eastAsia"/>
          <w:sz w:val="26"/>
        </w:rPr>
        <w:t>的新稅負為</w:t>
      </w:r>
      <w:r w:rsidRPr="006A701C">
        <w:rPr>
          <w:rFonts w:eastAsia="標楷體"/>
          <w:sz w:val="26"/>
        </w:rPr>
        <w:t>3</w:t>
      </w:r>
      <w:r w:rsidRPr="006A701C">
        <w:rPr>
          <w:rFonts w:eastAsia="標楷體" w:hint="eastAsia"/>
          <w:sz w:val="26"/>
        </w:rPr>
        <w:t>，上升</w:t>
      </w:r>
      <w:r w:rsidRPr="006A701C">
        <w:rPr>
          <w:rFonts w:eastAsia="標楷體"/>
          <w:sz w:val="26"/>
        </w:rPr>
        <w:t>0.5</w:t>
      </w:r>
      <w:r w:rsidRPr="006A701C">
        <w:rPr>
          <w:rFonts w:eastAsia="標楷體" w:hint="eastAsia"/>
          <w:sz w:val="26"/>
        </w:rPr>
        <w:t>；</w:t>
      </w:r>
      <w:r w:rsidRPr="006A701C">
        <w:rPr>
          <w:rFonts w:eastAsia="標楷體"/>
          <w:sz w:val="26"/>
        </w:rPr>
        <w:t>B</w:t>
      </w:r>
      <w:r w:rsidRPr="006A701C">
        <w:rPr>
          <w:rFonts w:eastAsia="標楷體" w:hint="eastAsia"/>
          <w:sz w:val="26"/>
        </w:rPr>
        <w:t>因可就購買</w:t>
      </w:r>
      <w:r w:rsidRPr="006A701C">
        <w:rPr>
          <w:rFonts w:eastAsia="標楷體"/>
          <w:sz w:val="26"/>
        </w:rPr>
        <w:t>A</w:t>
      </w:r>
      <w:r w:rsidRPr="006A701C">
        <w:rPr>
          <w:rFonts w:eastAsia="標楷體" w:hint="eastAsia"/>
          <w:sz w:val="26"/>
        </w:rPr>
        <w:t>之服務做進項抵扣因此稅負降為</w:t>
      </w:r>
      <w:r w:rsidRPr="006A701C">
        <w:rPr>
          <w:rFonts w:eastAsia="標楷體"/>
          <w:sz w:val="26"/>
        </w:rPr>
        <w:t>1.8</w:t>
      </w:r>
      <w:r w:rsidRPr="006A701C">
        <w:rPr>
          <w:rFonts w:eastAsia="標楷體" w:hint="eastAsia"/>
          <w:sz w:val="26"/>
        </w:rPr>
        <w:t>；</w:t>
      </w:r>
      <w:r w:rsidRPr="006A701C">
        <w:rPr>
          <w:rFonts w:eastAsia="標楷體"/>
          <w:sz w:val="26"/>
        </w:rPr>
        <w:t>C</w:t>
      </w:r>
      <w:r w:rsidRPr="006A701C">
        <w:rPr>
          <w:rFonts w:eastAsia="標楷體" w:hint="eastAsia"/>
          <w:sz w:val="26"/>
        </w:rPr>
        <w:t>也因服務業改徵增值稅而可獲得進項抵扣，稅負降為</w:t>
      </w:r>
      <w:r w:rsidRPr="006A701C">
        <w:rPr>
          <w:rFonts w:eastAsia="標楷體"/>
          <w:sz w:val="26"/>
        </w:rPr>
        <w:t>12.2</w:t>
      </w:r>
      <w:r w:rsidRPr="006A701C">
        <w:rPr>
          <w:rFonts w:eastAsia="標楷體" w:hint="eastAsia"/>
          <w:sz w:val="26"/>
        </w:rPr>
        <w:t>。市場上總稅額下降為</w:t>
      </w:r>
      <w:r w:rsidRPr="006A701C">
        <w:rPr>
          <w:rFonts w:eastAsia="標楷體"/>
          <w:sz w:val="26"/>
        </w:rPr>
        <w:t>17</w:t>
      </w:r>
      <w:r w:rsidRPr="006A701C">
        <w:rPr>
          <w:rFonts w:eastAsia="標楷體" w:hint="eastAsia"/>
          <w:sz w:val="26"/>
        </w:rPr>
        <w:t>。營改</w:t>
      </w:r>
      <w:r w:rsidR="004C158C" w:rsidRPr="004C158C">
        <w:rPr>
          <w:rFonts w:eastAsia="標楷體" w:hint="eastAsia"/>
          <w:color w:val="FF0000"/>
          <w:sz w:val="26"/>
        </w:rPr>
        <w:t>增</w:t>
      </w:r>
      <w:r w:rsidRPr="006A701C">
        <w:rPr>
          <w:rFonts w:eastAsia="標楷體" w:hint="eastAsia"/>
          <w:sz w:val="26"/>
        </w:rPr>
        <w:t>整體而言確實有助減少稅負，並消除重複課稅的情形。</w:t>
      </w:r>
    </w:p>
    <w:p w:rsidR="006A701C" w:rsidRPr="006A701C" w:rsidRDefault="00796180" w:rsidP="006A701C">
      <w:pPr>
        <w:spacing w:beforeLines="50" w:before="180" w:afterLines="50" w:after="180" w:line="360" w:lineRule="auto"/>
        <w:rPr>
          <w:rFonts w:eastAsia="標楷體" w:hAnsi="標楷體"/>
          <w:color w:val="000000"/>
          <w:sz w:val="20"/>
          <w:szCs w:val="22"/>
          <w:shd w:val="clear" w:color="auto" w:fill="FFFFFF"/>
        </w:rPr>
      </w:pPr>
      <w:r>
        <w:rPr>
          <w:rFonts w:ascii="標楷體" w:eastAsia="標楷體" w:hAnsi="Calibri"/>
          <w:noProof/>
          <w:szCs w:val="22"/>
        </w:rPr>
        <w:drawing>
          <wp:inline distT="0" distB="0" distL="0" distR="0">
            <wp:extent cx="5909310" cy="2702560"/>
            <wp:effectExtent l="0" t="0" r="0" b="2540"/>
            <wp:docPr id="1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5">
                      <a:extLst>
                        <a:ext uri="{28A0092B-C50C-407E-A947-70E740481C1C}">
                          <a14:useLocalDpi xmlns:a14="http://schemas.microsoft.com/office/drawing/2010/main" val="0"/>
                        </a:ext>
                      </a:extLst>
                    </a:blip>
                    <a:srcRect t="11690" b="3603"/>
                    <a:stretch>
                      <a:fillRect/>
                    </a:stretch>
                  </pic:blipFill>
                  <pic:spPr bwMode="auto">
                    <a:xfrm>
                      <a:off x="0" y="0"/>
                      <a:ext cx="5909310" cy="2702560"/>
                    </a:xfrm>
                    <a:prstGeom prst="rect">
                      <a:avLst/>
                    </a:prstGeom>
                    <a:noFill/>
                    <a:ln>
                      <a:noFill/>
                    </a:ln>
                  </pic:spPr>
                </pic:pic>
              </a:graphicData>
            </a:graphic>
          </wp:inline>
        </w:drawing>
      </w:r>
      <w:r w:rsidR="00DB0C74" w:rsidRPr="006A701C">
        <w:rPr>
          <w:rFonts w:ascii="Calibri" w:eastAsia="標楷體" w:hAnsi="Calibri" w:hint="eastAsia"/>
          <w:color w:val="000000"/>
          <w:sz w:val="20"/>
          <w:szCs w:val="22"/>
          <w:shd w:val="clear" w:color="auto" w:fill="FFFFFF"/>
        </w:rPr>
        <w:t>資料來源</w:t>
      </w:r>
      <w:r w:rsidR="00DB0C74" w:rsidRPr="006A701C">
        <w:rPr>
          <w:rFonts w:ascii="Calibri" w:eastAsia="標楷體"/>
          <w:color w:val="000000"/>
          <w:sz w:val="20"/>
          <w:szCs w:val="22"/>
          <w:shd w:val="clear" w:color="auto" w:fill="FFFFFF"/>
        </w:rPr>
        <w:t xml:space="preserve">: </w:t>
      </w:r>
      <w:r w:rsidR="00DB0C74" w:rsidRPr="006A701C">
        <w:rPr>
          <w:rFonts w:eastAsia="標楷體" w:hAnsi="標楷體" w:hint="eastAsia"/>
          <w:color w:val="000000"/>
          <w:sz w:val="20"/>
          <w:szCs w:val="22"/>
          <w:shd w:val="clear" w:color="auto" w:fill="FFFFFF"/>
        </w:rPr>
        <w:t>李仁祥，「中國大陸擴大營業稅改徵增值稅」，《貿易》，</w:t>
      </w:r>
      <w:r w:rsidR="00DB0C74" w:rsidRPr="006A701C">
        <w:rPr>
          <w:rFonts w:eastAsia="標楷體" w:hAnsi="標楷體"/>
          <w:color w:val="000000"/>
          <w:sz w:val="20"/>
          <w:szCs w:val="22"/>
          <w:shd w:val="clear" w:color="auto" w:fill="FFFFFF"/>
        </w:rPr>
        <w:t>no.257</w:t>
      </w:r>
      <w:r w:rsidR="00DB0C74" w:rsidRPr="006A701C">
        <w:rPr>
          <w:rFonts w:eastAsia="標楷體" w:hAnsi="標楷體" w:hint="eastAsia"/>
          <w:color w:val="000000"/>
          <w:sz w:val="20"/>
          <w:szCs w:val="22"/>
          <w:shd w:val="clear" w:color="auto" w:fill="FFFFFF"/>
        </w:rPr>
        <w:t>，</w:t>
      </w:r>
      <w:r w:rsidR="00DB0C74" w:rsidRPr="006A701C">
        <w:rPr>
          <w:rFonts w:eastAsia="標楷體" w:hAnsi="標楷體"/>
          <w:color w:val="000000"/>
          <w:sz w:val="20"/>
          <w:szCs w:val="22"/>
          <w:shd w:val="clear" w:color="auto" w:fill="FFFFFF"/>
        </w:rPr>
        <w:t>2012</w:t>
      </w:r>
      <w:r w:rsidR="00DB0C74" w:rsidRPr="006A701C">
        <w:rPr>
          <w:rFonts w:eastAsia="標楷體" w:hAnsi="標楷體" w:hint="eastAsia"/>
          <w:color w:val="000000"/>
          <w:sz w:val="20"/>
          <w:szCs w:val="22"/>
          <w:shd w:val="clear" w:color="auto" w:fill="FFFFFF"/>
        </w:rPr>
        <w:t>年</w:t>
      </w:r>
      <w:r w:rsidR="00DB0C74" w:rsidRPr="006A701C">
        <w:rPr>
          <w:rFonts w:eastAsia="標楷體" w:hAnsi="標楷體"/>
          <w:color w:val="000000"/>
          <w:sz w:val="20"/>
          <w:szCs w:val="22"/>
          <w:shd w:val="clear" w:color="auto" w:fill="FFFFFF"/>
        </w:rPr>
        <w:t>11</w:t>
      </w:r>
      <w:r w:rsidR="00DB0C74" w:rsidRPr="006A701C">
        <w:rPr>
          <w:rFonts w:eastAsia="標楷體" w:hAnsi="標楷體" w:hint="eastAsia"/>
          <w:color w:val="000000"/>
          <w:sz w:val="20"/>
          <w:szCs w:val="22"/>
          <w:shd w:val="clear" w:color="auto" w:fill="FFFFFF"/>
        </w:rPr>
        <w:t>月</w:t>
      </w:r>
      <w:r w:rsidR="004C158C" w:rsidRPr="004C158C">
        <w:rPr>
          <w:rFonts w:eastAsia="標楷體" w:hAnsi="標楷體" w:hint="eastAsia"/>
          <w:color w:val="FF0000"/>
          <w:sz w:val="20"/>
          <w:szCs w:val="22"/>
          <w:shd w:val="clear" w:color="auto" w:fill="FFFFFF"/>
        </w:rPr>
        <w:t>。</w:t>
      </w:r>
    </w:p>
    <w:p w:rsidR="006A701C" w:rsidRPr="00032EE2" w:rsidRDefault="00DB0C74" w:rsidP="00032EE2">
      <w:pPr>
        <w:pStyle w:val="af0"/>
      </w:pPr>
      <w:bookmarkStart w:id="43" w:name="_Toc405462629"/>
      <w:r w:rsidRPr="00032EE2">
        <w:rPr>
          <w:rFonts w:hint="eastAsia"/>
        </w:rPr>
        <w:t>圖</w:t>
      </w:r>
      <w:r>
        <w:t>3-</w:t>
      </w:r>
      <w:r w:rsidR="000A209D">
        <w:rPr>
          <w:rFonts w:hint="eastAsia"/>
          <w:lang w:eastAsia="zh-TW"/>
        </w:rPr>
        <w:t>6</w:t>
      </w:r>
      <w:r>
        <w:t xml:space="preserve">  </w:t>
      </w:r>
      <w:r w:rsidRPr="00032EE2">
        <w:rPr>
          <w:rFonts w:hint="eastAsia"/>
        </w:rPr>
        <w:t>營改增下各行業稅負不變之成本分配率</w:t>
      </w:r>
      <w:bookmarkEnd w:id="43"/>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但就個別廠商而言，會因其位處供應鏈的角色不同、進項成本的不同，而產生或正或負的稅負變化。上圖</w:t>
      </w:r>
      <w:r w:rsidRPr="006A701C">
        <w:rPr>
          <w:rFonts w:eastAsia="標楷體"/>
          <w:sz w:val="26"/>
        </w:rPr>
        <w:t>3-</w:t>
      </w:r>
      <w:r w:rsidR="000A209D">
        <w:rPr>
          <w:rFonts w:eastAsia="標楷體" w:hint="eastAsia"/>
          <w:sz w:val="26"/>
        </w:rPr>
        <w:t>6</w:t>
      </w:r>
      <w:r w:rsidRPr="006A701C">
        <w:rPr>
          <w:rFonts w:eastAsia="標楷體" w:hint="eastAsia"/>
          <w:sz w:val="26"/>
        </w:rPr>
        <w:t>計算各行業需擁有多少比例的進項成本才能在不改變生產結構的前提下，在這波稅制改革中獲得減稅的好處。圖</w:t>
      </w:r>
      <w:r w:rsidR="00207317">
        <w:rPr>
          <w:rFonts w:eastAsia="標楷體" w:hint="eastAsia"/>
          <w:sz w:val="26"/>
        </w:rPr>
        <w:t>3-6</w:t>
      </w:r>
      <w:r w:rsidRPr="006A701C">
        <w:rPr>
          <w:rFonts w:eastAsia="標楷體" w:hint="eastAsia"/>
          <w:sz w:val="26"/>
        </w:rPr>
        <w:t>最左邊代表的是營改增之前各產業所面臨的營業稅率，中間則是營改增之後的增值稅率，需繳納之稅率普遍是上升的。最右邊的成本分配</w:t>
      </w:r>
      <w:r w:rsidR="007B1FB6">
        <w:rPr>
          <w:rFonts w:eastAsia="標楷體" w:hint="eastAsia"/>
          <w:sz w:val="26"/>
        </w:rPr>
        <w:t>率</w:t>
      </w:r>
      <w:r w:rsidRPr="006A701C">
        <w:rPr>
          <w:rFonts w:eastAsia="標楷體" w:hint="eastAsia"/>
          <w:sz w:val="26"/>
        </w:rPr>
        <w:t>則是透過計算而得，此分配率代表的是若企業的進項佔總成本的比例超過此數值，則代表企業擁有足夠的進項抵扣去彌補稅率提高的損失。圖中我們可以很輕易的觀察到租賃服務與交通運輸業擁有極高的成本分配率，代表著此種行業之增值稅率較為高，因此平均而言需要更多的進項抵扣來彌補稅率提升所產生的損失。</w:t>
      </w:r>
    </w:p>
    <w:p w:rsidR="006A701C" w:rsidRPr="0066401D" w:rsidRDefault="006A701C" w:rsidP="00155D97">
      <w:pPr>
        <w:pStyle w:val="2"/>
        <w:spacing w:beforeLines="150" w:before="540" w:after="108"/>
      </w:pPr>
      <w:bookmarkStart w:id="44" w:name="_Toc405462589"/>
      <w:r w:rsidRPr="0066401D">
        <w:rPr>
          <w:rFonts w:hint="eastAsia"/>
        </w:rPr>
        <w:lastRenderedPageBreak/>
        <w:t>第二節</w:t>
      </w:r>
      <w:r w:rsidRPr="0066401D">
        <w:t xml:space="preserve"> </w:t>
      </w:r>
      <w:r w:rsidRPr="0066401D">
        <w:rPr>
          <w:rFonts w:hint="eastAsia"/>
        </w:rPr>
        <w:t>營改增對企業經營之影響</w:t>
      </w:r>
      <w:bookmarkEnd w:id="44"/>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本節中將探討營改增的實施對生產性服務業與其下游之工商部門的影響。就企業主而言，利潤是最直接的考量，因此我們將先探討營改增的實施對產業稅負的影響。接著，在增值稅的進貨扣抵特性下，生產性服務業與其下游廠商的關係將產生改變，服務業本身會加大設備的更新與投資，而工商部門也會因服務業改徵增值稅而選擇將服務外包，或將其內部服務部門獨立出來，營運效能提升後，市場擴大與活化將隨之而來，是為營改增政策所帶來的企業結構變化。最後，工商部門將內部原有的服務項目外包或獨立後，對企業集團帶來的運作彈性的提升是營改增政策帶來的另一面向的影響。本節將分別就此三點進行討論。</w:t>
      </w:r>
    </w:p>
    <w:p w:rsidR="006A701C" w:rsidRPr="0066401D" w:rsidRDefault="00DB0C74" w:rsidP="0066401D">
      <w:pPr>
        <w:pStyle w:val="3"/>
        <w:spacing w:beforeLines="100" w:before="360" w:after="72"/>
        <w:rPr>
          <w:rFonts w:ascii="Times New Roman" w:hAnsi="Times New Roman"/>
        </w:rPr>
      </w:pPr>
      <w:r w:rsidRPr="0066401D">
        <w:rPr>
          <w:rFonts w:ascii="Times New Roman" w:hAnsi="Times New Roman" w:hint="eastAsia"/>
        </w:rPr>
        <w:t>壹、產業稅負下降</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如同前述之政策目標，營改增主要目的在於促進公平競爭並消除重複課稅，減輕企業的稅賦負擔，因此，</w:t>
      </w:r>
      <w:r w:rsidR="000324F4">
        <w:rPr>
          <w:rFonts w:eastAsia="標楷體" w:hint="eastAsia"/>
          <w:sz w:val="26"/>
        </w:rPr>
        <w:t>對於大多數的企業而言，改徵增值稅</w:t>
      </w:r>
      <w:r w:rsidR="000324F4" w:rsidRPr="00C74F59">
        <w:rPr>
          <w:rFonts w:eastAsia="標楷體" w:hint="eastAsia"/>
          <w:sz w:val="26"/>
        </w:rPr>
        <w:t>後，稅負是下降的。根據中國大陸國家稅務總局</w:t>
      </w:r>
      <w:r w:rsidRPr="00C74F59">
        <w:rPr>
          <w:rFonts w:eastAsia="標楷體" w:hint="eastAsia"/>
          <w:sz w:val="26"/>
        </w:rPr>
        <w:t>統計，</w:t>
      </w:r>
      <w:r w:rsidRPr="00C74F59">
        <w:rPr>
          <w:rFonts w:eastAsia="標楷體"/>
          <w:sz w:val="26"/>
        </w:rPr>
        <w:t>2013</w:t>
      </w:r>
      <w:r w:rsidRPr="00C74F59">
        <w:rPr>
          <w:rFonts w:eastAsia="標楷體" w:hint="eastAsia"/>
          <w:sz w:val="26"/>
        </w:rPr>
        <w:t>年度約有</w:t>
      </w:r>
      <w:r w:rsidRPr="00C74F59">
        <w:rPr>
          <w:rFonts w:eastAsia="標楷體"/>
          <w:sz w:val="26"/>
        </w:rPr>
        <w:t>270</w:t>
      </w:r>
      <w:r w:rsidRPr="006A701C">
        <w:rPr>
          <w:rFonts w:eastAsia="標楷體" w:hint="eastAsia"/>
          <w:sz w:val="26"/>
        </w:rPr>
        <w:t>萬戶完成稅制上的轉換，較</w:t>
      </w:r>
      <w:r w:rsidRPr="006A701C">
        <w:rPr>
          <w:rFonts w:eastAsia="標楷體"/>
          <w:sz w:val="26"/>
        </w:rPr>
        <w:t>2012</w:t>
      </w:r>
      <w:r w:rsidRPr="006A701C">
        <w:rPr>
          <w:rFonts w:eastAsia="標楷體" w:hint="eastAsia"/>
          <w:sz w:val="26"/>
        </w:rPr>
        <w:t>年度成長</w:t>
      </w:r>
      <w:r w:rsidRPr="006A701C">
        <w:rPr>
          <w:rFonts w:eastAsia="標楷體"/>
          <w:sz w:val="26"/>
        </w:rPr>
        <w:t>1.6</w:t>
      </w:r>
      <w:r w:rsidRPr="006A701C">
        <w:rPr>
          <w:rFonts w:eastAsia="標楷體" w:hint="eastAsia"/>
          <w:sz w:val="26"/>
        </w:rPr>
        <w:t>倍，減稅規模也超過</w:t>
      </w:r>
      <w:r w:rsidRPr="006A701C">
        <w:rPr>
          <w:rFonts w:eastAsia="標楷體"/>
          <w:sz w:val="26"/>
        </w:rPr>
        <w:t>1</w:t>
      </w:r>
      <w:r w:rsidR="00CC46B2">
        <w:rPr>
          <w:rFonts w:eastAsia="標楷體" w:hint="eastAsia"/>
          <w:sz w:val="26"/>
        </w:rPr>
        <w:t>,</w:t>
      </w:r>
      <w:r w:rsidRPr="006A701C">
        <w:rPr>
          <w:rFonts w:eastAsia="標楷體"/>
          <w:sz w:val="26"/>
        </w:rPr>
        <w:t>400</w:t>
      </w:r>
      <w:r w:rsidRPr="006A701C">
        <w:rPr>
          <w:rFonts w:eastAsia="標楷體" w:hint="eastAsia"/>
          <w:sz w:val="26"/>
        </w:rPr>
        <w:t>億人民幣（以下同）。而自營改增試點以來至</w:t>
      </w:r>
      <w:r w:rsidRPr="006A701C">
        <w:rPr>
          <w:rFonts w:eastAsia="標楷體"/>
          <w:sz w:val="26"/>
        </w:rPr>
        <w:t>2014</w:t>
      </w:r>
      <w:r w:rsidRPr="006A701C">
        <w:rPr>
          <w:rFonts w:eastAsia="標楷體" w:hint="eastAsia"/>
          <w:sz w:val="26"/>
        </w:rPr>
        <w:t>年</w:t>
      </w:r>
      <w:r w:rsidRPr="006A701C">
        <w:rPr>
          <w:rFonts w:eastAsia="標楷體"/>
          <w:sz w:val="26"/>
        </w:rPr>
        <w:t>6</w:t>
      </w:r>
      <w:r w:rsidRPr="006A701C">
        <w:rPr>
          <w:rFonts w:eastAsia="標楷體" w:hint="eastAsia"/>
          <w:sz w:val="26"/>
        </w:rPr>
        <w:t>月，減稅已累計達</w:t>
      </w:r>
      <w:r w:rsidRPr="006A701C">
        <w:rPr>
          <w:rFonts w:eastAsia="標楷體"/>
          <w:sz w:val="26"/>
        </w:rPr>
        <w:t>2,679</w:t>
      </w:r>
      <w:r w:rsidRPr="006A701C">
        <w:rPr>
          <w:rFonts w:eastAsia="標楷體" w:hint="eastAsia"/>
          <w:sz w:val="26"/>
        </w:rPr>
        <w:t>億元，在納入試點的</w:t>
      </w:r>
      <w:r w:rsidRPr="006A701C">
        <w:rPr>
          <w:rFonts w:eastAsia="標楷體"/>
          <w:sz w:val="26"/>
        </w:rPr>
        <w:t>342</w:t>
      </w:r>
      <w:r w:rsidRPr="006A701C">
        <w:rPr>
          <w:rFonts w:eastAsia="標楷體" w:hint="eastAsia"/>
          <w:sz w:val="26"/>
        </w:rPr>
        <w:t>萬納稅人中有超過</w:t>
      </w:r>
      <w:r w:rsidRPr="006A701C">
        <w:rPr>
          <w:rFonts w:eastAsia="標楷體"/>
          <w:sz w:val="26"/>
        </w:rPr>
        <w:t>96%</w:t>
      </w:r>
      <w:r w:rsidRPr="006A701C">
        <w:rPr>
          <w:rFonts w:eastAsia="標楷體" w:hint="eastAsia"/>
          <w:sz w:val="26"/>
        </w:rPr>
        <w:t>的人稅負下降。</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若細究減稅的受益對象，則</w:t>
      </w:r>
      <w:r w:rsidRPr="006A701C">
        <w:rPr>
          <w:rFonts w:eastAsia="標楷體"/>
          <w:sz w:val="26"/>
        </w:rPr>
        <w:t>2014</w:t>
      </w:r>
      <w:r w:rsidRPr="006A701C">
        <w:rPr>
          <w:rFonts w:eastAsia="標楷體" w:hint="eastAsia"/>
          <w:sz w:val="26"/>
        </w:rPr>
        <w:t>上半年度因實施營改增而減稅的</w:t>
      </w:r>
      <w:r w:rsidRPr="006A701C">
        <w:rPr>
          <w:rFonts w:eastAsia="標楷體"/>
          <w:sz w:val="26"/>
        </w:rPr>
        <w:t>851</w:t>
      </w:r>
      <w:r w:rsidRPr="006A701C">
        <w:rPr>
          <w:rFonts w:eastAsia="標楷體" w:hint="eastAsia"/>
          <w:sz w:val="26"/>
        </w:rPr>
        <w:t>億元中，來自試點納稅人的共計有約</w:t>
      </w:r>
      <w:r w:rsidRPr="006A701C">
        <w:rPr>
          <w:rFonts w:eastAsia="標楷體"/>
          <w:sz w:val="26"/>
        </w:rPr>
        <w:t>385</w:t>
      </w:r>
      <w:r w:rsidRPr="006A701C">
        <w:rPr>
          <w:rFonts w:eastAsia="標楷體" w:hint="eastAsia"/>
          <w:sz w:val="26"/>
        </w:rPr>
        <w:t>億，另外</w:t>
      </w:r>
      <w:r w:rsidRPr="006A701C">
        <w:rPr>
          <w:rFonts w:eastAsia="標楷體"/>
          <w:sz w:val="26"/>
        </w:rPr>
        <w:t>466</w:t>
      </w:r>
      <w:r w:rsidRPr="006A701C">
        <w:rPr>
          <w:rFonts w:eastAsia="標楷體" w:hint="eastAsia"/>
          <w:sz w:val="26"/>
        </w:rPr>
        <w:t>億元則是非試點納稅人因進項扣抵所享受到的減稅效果，營改增政策對服務業產生直接的減稅效果之外，更確實影響了服務業之下游廠商，緩解重複課稅的不利影響</w:t>
      </w:r>
      <w:r w:rsidR="00632072" w:rsidRPr="006A701C">
        <w:rPr>
          <w:rFonts w:eastAsia="標楷體"/>
          <w:sz w:val="26"/>
          <w:vertAlign w:val="superscript"/>
        </w:rPr>
        <w:footnoteReference w:id="10"/>
      </w:r>
      <w:r w:rsidRPr="006A701C">
        <w:rPr>
          <w:rFonts w:eastAsia="標楷體" w:hint="eastAsia"/>
          <w:sz w:val="26"/>
        </w:rPr>
        <w:t>。</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若就不同產業稅負的影響進行討論，新增值稅率提高為</w:t>
      </w:r>
      <w:r w:rsidRPr="006A701C">
        <w:rPr>
          <w:rFonts w:eastAsia="標楷體"/>
          <w:sz w:val="26"/>
        </w:rPr>
        <w:t>11%</w:t>
      </w:r>
      <w:r w:rsidRPr="006A701C">
        <w:rPr>
          <w:rFonts w:eastAsia="標楷體" w:hint="eastAsia"/>
          <w:sz w:val="26"/>
        </w:rPr>
        <w:t>的交通、</w:t>
      </w:r>
      <w:r w:rsidRPr="006A701C">
        <w:rPr>
          <w:rFonts w:eastAsia="標楷體" w:hint="eastAsia"/>
          <w:sz w:val="26"/>
        </w:rPr>
        <w:lastRenderedPageBreak/>
        <w:t>郵政與電信業和</w:t>
      </w:r>
      <w:r w:rsidRPr="006A701C">
        <w:rPr>
          <w:rFonts w:eastAsia="標楷體"/>
          <w:sz w:val="26"/>
        </w:rPr>
        <w:t>17%</w:t>
      </w:r>
      <w:r w:rsidRPr="006A701C">
        <w:rPr>
          <w:rFonts w:eastAsia="標楷體" w:hint="eastAsia"/>
          <w:sz w:val="26"/>
        </w:rPr>
        <w:t>的有形動產租賃，因其稅率的大幅提升，若企業並未擁有足夠的進項扣抵的情況下，這些產業有較大可能出現稅負提升的現象。以交通運輸業為例，因其過路費、過橋費、保險費等尚未納入營改增範圍，造成進項抵扣不全，在面臨稅率的上升下其實際稅負也往上提升。而就電信業來看，自</w:t>
      </w:r>
      <w:r w:rsidRPr="006A701C">
        <w:rPr>
          <w:rFonts w:eastAsia="標楷體"/>
          <w:sz w:val="26"/>
        </w:rPr>
        <w:t>6</w:t>
      </w:r>
      <w:r w:rsidRPr="006A701C">
        <w:rPr>
          <w:rFonts w:eastAsia="標楷體" w:hint="eastAsia"/>
          <w:sz w:val="26"/>
        </w:rPr>
        <w:t>月納入試點以來多數電信公司因先前所購買之設備無法進行進項抵扣，因此短期內之稅負皆因稅率的提升而增加。以武漢市為例，其三大營運商在</w:t>
      </w:r>
      <w:r w:rsidRPr="006A701C">
        <w:rPr>
          <w:rFonts w:eastAsia="標楷體"/>
          <w:sz w:val="26"/>
        </w:rPr>
        <w:t>6</w:t>
      </w:r>
      <w:r w:rsidRPr="006A701C">
        <w:rPr>
          <w:rFonts w:eastAsia="標楷體" w:hint="eastAsia"/>
          <w:sz w:val="26"/>
        </w:rPr>
        <w:t>月皆增稅約</w:t>
      </w:r>
      <w:r w:rsidRPr="006A701C">
        <w:rPr>
          <w:rFonts w:eastAsia="標楷體"/>
          <w:sz w:val="26"/>
        </w:rPr>
        <w:t>1.3</w:t>
      </w:r>
      <w:r w:rsidRPr="006A701C">
        <w:rPr>
          <w:rFonts w:eastAsia="標楷體" w:hint="eastAsia"/>
          <w:sz w:val="26"/>
        </w:rPr>
        <w:t>億元，整體稅負短期內上升。營改增在總體上達到結構性減稅的目標，但就若個別產業或企業而言，仍有部分受到損害之企業存在</w:t>
      </w:r>
      <w:r w:rsidR="00C47671" w:rsidRPr="006A701C">
        <w:rPr>
          <w:rFonts w:eastAsia="標楷體"/>
          <w:sz w:val="26"/>
          <w:vertAlign w:val="superscript"/>
        </w:rPr>
        <w:footnoteReference w:id="11"/>
      </w:r>
      <w:r w:rsidRPr="006A701C">
        <w:rPr>
          <w:rFonts w:eastAsia="標楷體" w:hint="eastAsia"/>
          <w:sz w:val="26"/>
        </w:rPr>
        <w:t>。</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短期而言，可能有部分企業因營改增而使得稅負上升，但若長期來看，以交通運輸業為例，透過營改增不斷地擴增與修訂，當本來並未納入抵扣的費用可以抵扣、或要進行設備更新之時其稅負可能就可以降低。再以電信業為例，中國移動內部人士在接受《證券日報》採訪時表示，長遠來看，隨著</w:t>
      </w:r>
      <w:r w:rsidRPr="006A701C">
        <w:rPr>
          <w:rFonts w:eastAsia="標楷體"/>
          <w:sz w:val="26"/>
        </w:rPr>
        <w:t>4G</w:t>
      </w:r>
      <w:r w:rsidRPr="006A701C">
        <w:rPr>
          <w:rFonts w:eastAsia="標楷體" w:hint="eastAsia"/>
          <w:sz w:val="26"/>
        </w:rPr>
        <w:t>網路建設，運營商將進入設備更新換代時期，而營改增後電信業購進的固定資產都可以作為進項抵扣。經調整後，電信業的整體稅負反而會有所下降。同時，中國大陸工信部電信研究院專家也指出，隨著運營商自身戰略轉型的不斷推進，自身經營方式和財務管理的調整優化，以及營改增範圍的不斷擴大，預計在</w:t>
      </w:r>
      <w:r w:rsidRPr="006A701C">
        <w:rPr>
          <w:rFonts w:eastAsia="標楷體"/>
          <w:sz w:val="26"/>
        </w:rPr>
        <w:t>3</w:t>
      </w:r>
      <w:r w:rsidRPr="006A701C">
        <w:rPr>
          <w:rFonts w:eastAsia="標楷體" w:hint="eastAsia"/>
          <w:sz w:val="26"/>
        </w:rPr>
        <w:t>年至</w:t>
      </w:r>
      <w:r w:rsidRPr="006A701C">
        <w:rPr>
          <w:rFonts w:eastAsia="標楷體"/>
          <w:sz w:val="26"/>
        </w:rPr>
        <w:t>5</w:t>
      </w:r>
      <w:r w:rsidRPr="006A701C">
        <w:rPr>
          <w:rFonts w:eastAsia="標楷體" w:hint="eastAsia"/>
          <w:sz w:val="26"/>
        </w:rPr>
        <w:t>年之後電信運營商就將苦盡甘來，享受營改增帶來的改革紅利</w:t>
      </w:r>
      <w:r w:rsidR="00C47671" w:rsidRPr="006A701C">
        <w:rPr>
          <w:rFonts w:eastAsia="標楷體"/>
          <w:sz w:val="26"/>
          <w:vertAlign w:val="superscript"/>
        </w:rPr>
        <w:footnoteReference w:id="12"/>
      </w:r>
      <w:r w:rsidRPr="006A701C">
        <w:rPr>
          <w:rFonts w:eastAsia="標楷體" w:hint="eastAsia"/>
          <w:sz w:val="26"/>
        </w:rPr>
        <w:t>。</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sz w:val="26"/>
        </w:rPr>
        <w:t>2015</w:t>
      </w:r>
      <w:r w:rsidRPr="006A701C">
        <w:rPr>
          <w:rFonts w:eastAsia="標楷體" w:hint="eastAsia"/>
          <w:sz w:val="26"/>
        </w:rPr>
        <w:t>年以前，建築、金融、生活性服務業等也都將納入營改增的範圍之內，縱使部分行業會因稅率的上升及企業的轉型過程而產生稅負上升的可能，但長遠來看，營改增確實有助於減輕企業的</w:t>
      </w:r>
      <w:r w:rsidR="001834E8">
        <w:rPr>
          <w:rFonts w:eastAsia="標楷體" w:hint="eastAsia"/>
          <w:sz w:val="26"/>
        </w:rPr>
        <w:t>租</w:t>
      </w:r>
      <w:r w:rsidRPr="006A701C">
        <w:rPr>
          <w:rFonts w:eastAsia="標楷體" w:hint="eastAsia"/>
          <w:sz w:val="26"/>
        </w:rPr>
        <w:t>稅負擔，提升企業利潤並帶動產業發展。</w:t>
      </w:r>
    </w:p>
    <w:p w:rsidR="006A701C" w:rsidRPr="0066401D" w:rsidRDefault="00DB0C74" w:rsidP="0066401D">
      <w:pPr>
        <w:pStyle w:val="3"/>
        <w:spacing w:beforeLines="100" w:before="360" w:after="72"/>
        <w:rPr>
          <w:rFonts w:ascii="Times New Roman" w:hAnsi="Times New Roman"/>
        </w:rPr>
      </w:pPr>
      <w:r w:rsidRPr="0066401D">
        <w:rPr>
          <w:rFonts w:ascii="Times New Roman" w:hAnsi="Times New Roman" w:hint="eastAsia"/>
        </w:rPr>
        <w:lastRenderedPageBreak/>
        <w:t>貳、生產性服務業市場活化與擴大</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在營改增政策推動之下，生產性服務業市場，甚或是其下游的工商部門都將產生市場擴大的情形，其中影響的關係我們可由圖</w:t>
      </w:r>
      <w:r w:rsidRPr="006A701C">
        <w:rPr>
          <w:rFonts w:eastAsia="標楷體"/>
          <w:sz w:val="26"/>
        </w:rPr>
        <w:t>3-</w:t>
      </w:r>
      <w:r w:rsidR="000A209D">
        <w:rPr>
          <w:rFonts w:eastAsia="標楷體" w:hint="eastAsia"/>
          <w:sz w:val="26"/>
        </w:rPr>
        <w:t>7</w:t>
      </w:r>
      <w:r w:rsidRPr="006A701C">
        <w:rPr>
          <w:rFonts w:eastAsia="標楷體" w:hint="eastAsia"/>
          <w:sz w:val="26"/>
        </w:rPr>
        <w:t>去拆解分析。首先，單就生產性服務業而言</w:t>
      </w:r>
      <w:r w:rsidRPr="006A701C">
        <w:rPr>
          <w:rFonts w:eastAsia="標楷體"/>
          <w:sz w:val="26"/>
        </w:rPr>
        <w:t>(</w:t>
      </w:r>
      <w:r w:rsidRPr="006A701C">
        <w:rPr>
          <w:rFonts w:eastAsia="標楷體" w:hint="eastAsia"/>
          <w:sz w:val="26"/>
        </w:rPr>
        <w:t>圖中</w:t>
      </w:r>
      <w:r w:rsidR="006A701C" w:rsidRPr="006A701C">
        <w:rPr>
          <w:rFonts w:eastAsia="標楷體"/>
          <w:sz w:val="26"/>
        </w:rPr>
        <w:fldChar w:fldCharType="begin"/>
      </w:r>
      <w:r w:rsidR="006A701C" w:rsidRPr="006A701C">
        <w:rPr>
          <w:rFonts w:eastAsia="標楷體"/>
          <w:sz w:val="26"/>
        </w:rPr>
        <w:instrText xml:space="preserve"> eq \o\ac(</w:instrText>
      </w:r>
      <w:r w:rsidR="006A701C" w:rsidRPr="006A701C">
        <w:rPr>
          <w:rFonts w:ascii="標楷體" w:eastAsia="標楷體" w:hint="eastAsia"/>
          <w:position w:val="-5"/>
          <w:sz w:val="39"/>
        </w:rPr>
        <w:instrText>○</w:instrText>
      </w:r>
      <w:r w:rsidR="006A701C" w:rsidRPr="006A701C">
        <w:rPr>
          <w:rFonts w:eastAsia="標楷體"/>
          <w:sz w:val="26"/>
        </w:rPr>
        <w:instrText>,2)</w:instrText>
      </w:r>
      <w:r w:rsidR="006A701C" w:rsidRPr="006A701C">
        <w:rPr>
          <w:rFonts w:eastAsia="標楷體"/>
          <w:sz w:val="26"/>
        </w:rPr>
        <w:fldChar w:fldCharType="end"/>
      </w:r>
      <w:r w:rsidRPr="006A701C">
        <w:rPr>
          <w:rFonts w:eastAsia="標楷體"/>
          <w:sz w:val="26"/>
        </w:rPr>
        <w:t>)</w:t>
      </w:r>
      <w:r w:rsidRPr="006A701C">
        <w:rPr>
          <w:rFonts w:eastAsia="標楷體" w:hint="eastAsia"/>
          <w:sz w:val="26"/>
        </w:rPr>
        <w:t>，因增值稅進貨抵扣的特性，使得生產性服務業企業購買設備可獲得抵扣而願意更新或加大設備的投資，當設備提升或其營運效能也將隨之提升，在其他條件不變下，這些生產性服務業可以承接更多的業務，更有餘力開發原市場中尚未提供的服務內容，深化與擴大服務業市場。</w:t>
      </w:r>
    </w:p>
    <w:p w:rsidR="006A701C" w:rsidRPr="006A701C" w:rsidRDefault="00796180" w:rsidP="006A701C">
      <w:pPr>
        <w:spacing w:beforeLines="50" w:before="180" w:afterLines="50" w:after="180" w:line="360" w:lineRule="auto"/>
        <w:jc w:val="both"/>
        <w:rPr>
          <w:rFonts w:ascii="標楷體" w:eastAsia="標楷體" w:hAnsi="標楷體"/>
          <w:b/>
          <w:color w:val="FF0000"/>
          <w:sz w:val="44"/>
          <w:szCs w:val="44"/>
        </w:rPr>
      </w:pPr>
      <w:r>
        <w:rPr>
          <w:rFonts w:ascii="標楷體" w:eastAsia="標楷體" w:hAnsi="標楷體"/>
          <w:b/>
          <w:noProof/>
          <w:color w:val="FF0000"/>
          <w:sz w:val="44"/>
          <w:szCs w:val="44"/>
        </w:rPr>
        <w:drawing>
          <wp:inline distT="0" distB="0" distL="0" distR="0">
            <wp:extent cx="5240655" cy="296164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0655" cy="2961640"/>
                    </a:xfrm>
                    <a:prstGeom prst="rect">
                      <a:avLst/>
                    </a:prstGeom>
                    <a:noFill/>
                    <a:ln>
                      <a:noFill/>
                    </a:ln>
                  </pic:spPr>
                </pic:pic>
              </a:graphicData>
            </a:graphic>
          </wp:inline>
        </w:drawing>
      </w:r>
    </w:p>
    <w:p w:rsidR="006A701C" w:rsidRPr="006A701C" w:rsidRDefault="00DB0C74" w:rsidP="006A701C">
      <w:pPr>
        <w:spacing w:line="360" w:lineRule="auto"/>
        <w:jc w:val="both"/>
        <w:rPr>
          <w:rFonts w:ascii="標楷體" w:eastAsia="標楷體" w:hAnsi="標楷體"/>
          <w:sz w:val="20"/>
          <w:szCs w:val="22"/>
        </w:rPr>
      </w:pPr>
      <w:r w:rsidRPr="006A701C">
        <w:rPr>
          <w:rFonts w:ascii="標楷體" w:eastAsia="標楷體" w:hAnsi="標楷體" w:hint="eastAsia"/>
          <w:sz w:val="20"/>
          <w:szCs w:val="22"/>
        </w:rPr>
        <w:t>資料來源</w:t>
      </w:r>
      <w:r w:rsidRPr="006A701C">
        <w:rPr>
          <w:rFonts w:ascii="標楷體" w:eastAsia="標楷體" w:hAnsi="標楷體"/>
          <w:sz w:val="20"/>
          <w:szCs w:val="22"/>
        </w:rPr>
        <w:t xml:space="preserve">: </w:t>
      </w:r>
      <w:r w:rsidRPr="006A701C">
        <w:rPr>
          <w:rFonts w:ascii="標楷體" w:eastAsia="標楷體" w:hAnsi="標楷體" w:hint="eastAsia"/>
          <w:sz w:val="20"/>
          <w:szCs w:val="22"/>
        </w:rPr>
        <w:t>本研究繪製</w:t>
      </w:r>
    </w:p>
    <w:p w:rsidR="006A701C" w:rsidRPr="00032EE2" w:rsidRDefault="00DB0C74" w:rsidP="00032EE2">
      <w:pPr>
        <w:pStyle w:val="af0"/>
      </w:pPr>
      <w:bookmarkStart w:id="45" w:name="_Toc405462630"/>
      <w:r w:rsidRPr="00032EE2">
        <w:rPr>
          <w:rFonts w:hint="eastAsia"/>
        </w:rPr>
        <w:t>圖</w:t>
      </w:r>
      <w:r>
        <w:t>3-</w:t>
      </w:r>
      <w:r w:rsidR="000A209D">
        <w:rPr>
          <w:rFonts w:hint="eastAsia"/>
          <w:lang w:eastAsia="zh-TW"/>
        </w:rPr>
        <w:t>7</w:t>
      </w:r>
      <w:r>
        <w:t xml:space="preserve">  </w:t>
      </w:r>
      <w:r w:rsidRPr="00032EE2">
        <w:rPr>
          <w:rFonts w:hint="eastAsia"/>
        </w:rPr>
        <w:t>營改增政策對產業鏈之可能影響</w:t>
      </w:r>
      <w:bookmarkEnd w:id="45"/>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另一方面，若針對下游的工商部門進行討論</w:t>
      </w:r>
      <w:r w:rsidRPr="006A701C">
        <w:rPr>
          <w:rFonts w:eastAsia="標楷體"/>
          <w:sz w:val="26"/>
        </w:rPr>
        <w:t>(</w:t>
      </w:r>
      <w:r w:rsidRPr="006A701C">
        <w:rPr>
          <w:rFonts w:eastAsia="標楷體" w:hint="eastAsia"/>
          <w:sz w:val="26"/>
        </w:rPr>
        <w:t>圖中</w:t>
      </w:r>
      <w:r w:rsidR="006A701C" w:rsidRPr="006A701C">
        <w:rPr>
          <w:rFonts w:eastAsia="標楷體"/>
          <w:sz w:val="26"/>
        </w:rPr>
        <w:fldChar w:fldCharType="begin"/>
      </w:r>
      <w:r w:rsidR="006A701C" w:rsidRPr="006A701C">
        <w:rPr>
          <w:rFonts w:eastAsia="標楷體"/>
          <w:sz w:val="26"/>
        </w:rPr>
        <w:instrText xml:space="preserve"> eq \o\ac(</w:instrText>
      </w:r>
      <w:r w:rsidR="006A701C" w:rsidRPr="006A701C">
        <w:rPr>
          <w:rFonts w:ascii="標楷體" w:eastAsia="標楷體" w:hint="eastAsia"/>
          <w:position w:val="-5"/>
          <w:sz w:val="39"/>
        </w:rPr>
        <w:instrText>○</w:instrText>
      </w:r>
      <w:r w:rsidR="006A701C" w:rsidRPr="006A701C">
        <w:rPr>
          <w:rFonts w:eastAsia="標楷體"/>
          <w:sz w:val="26"/>
        </w:rPr>
        <w:instrText>,3)</w:instrText>
      </w:r>
      <w:r w:rsidR="006A701C" w:rsidRPr="006A701C">
        <w:rPr>
          <w:rFonts w:eastAsia="標楷體"/>
          <w:sz w:val="26"/>
        </w:rPr>
        <w:fldChar w:fldCharType="end"/>
      </w:r>
      <w:r w:rsidRPr="006A701C">
        <w:rPr>
          <w:rFonts w:eastAsia="標楷體"/>
          <w:sz w:val="26"/>
        </w:rPr>
        <w:t>)</w:t>
      </w:r>
      <w:r w:rsidRPr="006A701C">
        <w:rPr>
          <w:rFonts w:eastAsia="標楷體" w:hint="eastAsia"/>
          <w:sz w:val="26"/>
        </w:rPr>
        <w:t>，這些部門在營改增之前因服務業是用營業稅而無法適用於增值稅的進貨抵扣，因此多傾向於選擇在企業內部自行創立提供服務之部門，避免營業稅的課徵，因此此類企業多屬「大而全」，盡量減少於市場上進行服務的交易。但在實施營改增之後，上游生產性服務業可以開立增值稅之發票供其抵扣，所以工</w:t>
      </w:r>
      <w:r w:rsidRPr="006A701C">
        <w:rPr>
          <w:rFonts w:eastAsia="標楷體" w:hint="eastAsia"/>
          <w:sz w:val="26"/>
        </w:rPr>
        <w:lastRenderedPageBreak/>
        <w:t>商企業會選擇將原內部生產之服務外包至服務業市場生產，或是將企業原有的服務部門獨立以承接更多業務。此時，在市場中取得服務不僅可以做為進貨抵扣之用，更可獲得專業的服務。在這種行為下，工商部門因其組織精簡化，分工專業化而使得自身營運效能提升，工商部門市場規模擴大外，也因其外包的行為或是獨立部門的方式而使得生產性服務業市場也隨之擴大。</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再者，若考量服務業與工商部門的交互影響</w:t>
      </w:r>
      <w:r w:rsidRPr="006A701C">
        <w:rPr>
          <w:rFonts w:eastAsia="標楷體"/>
          <w:sz w:val="26"/>
        </w:rPr>
        <w:t>(</w:t>
      </w:r>
      <w:r w:rsidRPr="006A701C">
        <w:rPr>
          <w:rFonts w:eastAsia="標楷體" w:hint="eastAsia"/>
          <w:sz w:val="26"/>
        </w:rPr>
        <w:t>圖中</w:t>
      </w:r>
      <w:r w:rsidR="006A701C" w:rsidRPr="006A701C">
        <w:rPr>
          <w:rFonts w:eastAsia="標楷體"/>
          <w:sz w:val="26"/>
        </w:rPr>
        <w:fldChar w:fldCharType="begin"/>
      </w:r>
      <w:r w:rsidR="006A701C" w:rsidRPr="006A701C">
        <w:rPr>
          <w:rFonts w:eastAsia="標楷體"/>
          <w:sz w:val="26"/>
        </w:rPr>
        <w:instrText xml:space="preserve"> eq \o\ac(</w:instrText>
      </w:r>
      <w:r w:rsidR="006A701C" w:rsidRPr="006A701C">
        <w:rPr>
          <w:rFonts w:ascii="標楷體" w:eastAsia="標楷體" w:hint="eastAsia"/>
          <w:position w:val="-5"/>
          <w:sz w:val="39"/>
        </w:rPr>
        <w:instrText>○</w:instrText>
      </w:r>
      <w:r w:rsidR="006A701C" w:rsidRPr="006A701C">
        <w:rPr>
          <w:rFonts w:eastAsia="標楷體"/>
          <w:sz w:val="26"/>
        </w:rPr>
        <w:instrText>,4)</w:instrText>
      </w:r>
      <w:r w:rsidR="006A701C" w:rsidRPr="006A701C">
        <w:rPr>
          <w:rFonts w:eastAsia="標楷體"/>
          <w:sz w:val="26"/>
        </w:rPr>
        <w:fldChar w:fldCharType="end"/>
      </w:r>
      <w:r w:rsidRPr="006A701C">
        <w:rPr>
          <w:rFonts w:eastAsia="標楷體"/>
          <w:sz w:val="26"/>
        </w:rPr>
        <w:t>)</w:t>
      </w:r>
      <w:r w:rsidRPr="006A701C">
        <w:rPr>
          <w:rFonts w:eastAsia="標楷體" w:hint="eastAsia"/>
          <w:sz w:val="26"/>
        </w:rPr>
        <w:t>，服務業的營運效能提升將有助於提升工商部門的營運效率，因工商部門可獲得更為專業與效率的服務。工商部門的營運效率提升也將催生生產性服務業去強化自身提供的服務內容以期能承接更多業務。而服務業與工商部門市場的擴大也將交互影響，根據</w:t>
      </w:r>
      <w:r w:rsidR="007B1FB6">
        <w:rPr>
          <w:rFonts w:eastAsia="標楷體" w:hint="eastAsia"/>
          <w:sz w:val="26"/>
        </w:rPr>
        <w:t>媒體</w:t>
      </w:r>
      <w:r w:rsidRPr="006A701C">
        <w:rPr>
          <w:rFonts w:eastAsia="標楷體" w:hint="eastAsia"/>
          <w:sz w:val="26"/>
        </w:rPr>
        <w:t>報導，上海實施營改增的一年間，其第三級產業成長幅度達</w:t>
      </w:r>
      <w:r w:rsidRPr="006A701C">
        <w:rPr>
          <w:rFonts w:eastAsia="標楷體"/>
          <w:sz w:val="26"/>
        </w:rPr>
        <w:t>10.6%</w:t>
      </w:r>
      <w:r w:rsidRPr="006A701C">
        <w:rPr>
          <w:rFonts w:eastAsia="標楷體" w:hint="eastAsia"/>
          <w:sz w:val="26"/>
        </w:rPr>
        <w:t>，其中資訊服務等現代服務業呈現更為良好的發展，達成營改增所期許之全面帶動產業提升的效果</w:t>
      </w:r>
      <w:r w:rsidR="00C47671" w:rsidRPr="006A701C">
        <w:rPr>
          <w:rFonts w:eastAsia="標楷體"/>
          <w:sz w:val="26"/>
          <w:vertAlign w:val="superscript"/>
        </w:rPr>
        <w:footnoteReference w:id="13"/>
      </w:r>
      <w:r w:rsidRPr="006A701C">
        <w:rPr>
          <w:rFonts w:eastAsia="標楷體" w:hint="eastAsia"/>
          <w:sz w:val="26"/>
        </w:rPr>
        <w:t>。</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若進一步就設備更新進行闡述，營改增從制度上促進了試點</w:t>
      </w:r>
      <w:r w:rsidR="007B1FB6">
        <w:rPr>
          <w:rFonts w:eastAsia="標楷體" w:hint="eastAsia"/>
          <w:sz w:val="26"/>
        </w:rPr>
        <w:t>產業</w:t>
      </w:r>
      <w:r w:rsidRPr="006A701C">
        <w:rPr>
          <w:rFonts w:eastAsia="標楷體" w:hint="eastAsia"/>
          <w:sz w:val="26"/>
        </w:rPr>
        <w:t>加速設備的更新與改造，有利於提高生産效率，有利於産業的轉型升級和結構調整</w:t>
      </w:r>
      <w:r w:rsidR="00C47671" w:rsidRPr="006A701C">
        <w:rPr>
          <w:rFonts w:eastAsia="標楷體"/>
          <w:sz w:val="26"/>
          <w:vertAlign w:val="superscript"/>
        </w:rPr>
        <w:footnoteReference w:id="14"/>
      </w:r>
      <w:r w:rsidRPr="006A701C">
        <w:rPr>
          <w:rFonts w:eastAsia="標楷體" w:hint="eastAsia"/>
          <w:sz w:val="26"/>
        </w:rPr>
        <w:t>。在營改增前，服務業按全營業額納稅，外購材料、設備和服務所發生的進項稅不能抵扣；營改增後，試點服務業按增值納稅，外購材料、設備和服務所發生的進項稅允許抵扣。對於進行設備大規模投入和更新的企業，設備更新可以使試點企業進項稅抵扣增加，稅負減輕。在此稅制下，抵扣項越多，企業要繳納的增值稅越少，因此，營改增明顯加速了企業的設備更新與改造。因允許企業進行進貨抵扣的特性，企業面臨的投資成本下降，於是多加大設備投資或更新的力度，獲得進項扣抵外，也進一步提升生產效能。</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針對服務外包而言，部分工商部門將輔助性、非核心業務外包出去已</w:t>
      </w:r>
      <w:r w:rsidRPr="006A701C">
        <w:rPr>
          <w:rFonts w:eastAsia="標楷體" w:hint="eastAsia"/>
          <w:sz w:val="26"/>
        </w:rPr>
        <w:lastRenderedPageBreak/>
        <w:t>經是發展潮流。然在營改增實行前，發包方按照整個營業收入納稅，承包方也須繳納營業稅款，這就出現了重複課稅，從而影響和限制了外包服務發展。在服務業營改增後，雖然由企業外部提供服務仍要由提供服務企業繳納增值稅，但可以由接受服務企業從增值稅進項稅中抵扣，無論是內部提供服務還是外部提供服務皆不影響企業稅負。因此，營改增消除了服務業為工商業提供服務的稅收障礙，有利於推進生產企業服務外包，促進生產製造業與服務業之間的專業分工和協作，促進外包服務市場發展。</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進貨折抵使得生產性服務業與工商部門皆受益，並提升營運水準，也因過程中服務外包使得服務業市場擴大。服務業與工商部門的營運水準提升也相應的增加了他們所能承接的業務量，使得兩者之市場隨之擴充。市場的擴充也將交互影響彼此，更使服務業市場產生量的增加與新創業態加快出現的可能性。</w:t>
      </w:r>
    </w:p>
    <w:p w:rsidR="006A701C" w:rsidRPr="0066401D" w:rsidRDefault="00836311" w:rsidP="0066401D">
      <w:pPr>
        <w:pStyle w:val="3"/>
        <w:spacing w:beforeLines="100" w:before="360" w:after="72"/>
        <w:rPr>
          <w:rFonts w:ascii="Times New Roman" w:hAnsi="Times New Roman"/>
        </w:rPr>
      </w:pPr>
      <w:r>
        <w:rPr>
          <w:rFonts w:ascii="Times New Roman" w:hAnsi="Times New Roman" w:hint="eastAsia"/>
          <w:lang w:eastAsia="zh-TW"/>
        </w:rPr>
        <w:t>參</w:t>
      </w:r>
      <w:r w:rsidR="00DB0C74" w:rsidRPr="0066401D">
        <w:rPr>
          <w:rFonts w:ascii="Times New Roman" w:hAnsi="Times New Roman" w:hint="eastAsia"/>
        </w:rPr>
        <w:t>、企業集團運作彈性增加</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營改增政策的推動對整個生產鏈上最直接的影響是稅負的變化，及隨進貨抵扣而來的市場擴大。但本質的影響則是生產性服務業與工商部門對於稅制改變後的各種結構性的改變，精簡或重新整理企業組織等，改善「大而全」的特性，朝向專業化分工發展。當企業能夠藉著營改增此一契機，提升水準，則即使稅負有可能短期內不減反增，但長期而言，企業的組織再造都將得利。</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就工商部門（尤其是製造業）而言，上一部分所提及之外包服務會帶來市場的擴大，從另一面來看，這也是工商部門對自身企業主體的結構性改變，這些企業精簡其組織，實施「主輔分離」（自主要核心業務中分離出輔助性的部門），並保留與加強核心競爭力。透過這樣的轉型，企業結構將從橄欖型轉成啞鈴型，產業層次也能朝更高階的市場邁進。根據青島市統計，營改增後已有</w:t>
      </w:r>
      <w:r w:rsidRPr="006A701C">
        <w:rPr>
          <w:rFonts w:eastAsia="標楷體"/>
          <w:sz w:val="26"/>
        </w:rPr>
        <w:t>400</w:t>
      </w:r>
      <w:r w:rsidRPr="006A701C">
        <w:rPr>
          <w:rFonts w:eastAsia="標楷體" w:hint="eastAsia"/>
          <w:sz w:val="26"/>
        </w:rPr>
        <w:t>餘戶企業集團實施了主輔分離，將物流輔助、</w:t>
      </w:r>
      <w:r w:rsidRPr="006A701C">
        <w:rPr>
          <w:rFonts w:eastAsia="標楷體" w:hint="eastAsia"/>
          <w:sz w:val="26"/>
        </w:rPr>
        <w:lastRenderedPageBreak/>
        <w:t>倉儲、研發設計、物流等生產性服務功能從主業中剝離出來，成立新的公司運作，促進企業專業化的發展</w:t>
      </w:r>
      <w:r w:rsidR="00C47671" w:rsidRPr="006A701C">
        <w:rPr>
          <w:rFonts w:eastAsia="標楷體"/>
          <w:sz w:val="26"/>
          <w:vertAlign w:val="superscript"/>
        </w:rPr>
        <w:footnoteReference w:id="15"/>
      </w:r>
      <w:r w:rsidRPr="006A701C">
        <w:rPr>
          <w:rFonts w:eastAsia="標楷體" w:hint="eastAsia"/>
          <w:sz w:val="26"/>
        </w:rPr>
        <w:t>。</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於此同時，山東省濱州日報也指出</w:t>
      </w:r>
      <w:r w:rsidR="006A701C" w:rsidRPr="006A701C">
        <w:rPr>
          <w:rFonts w:eastAsia="標楷體"/>
          <w:sz w:val="26"/>
          <w:vertAlign w:val="superscript"/>
        </w:rPr>
        <w:footnoteReference w:id="16"/>
      </w:r>
      <w:r w:rsidRPr="006A701C">
        <w:rPr>
          <w:rFonts w:eastAsia="標楷體" w:hint="eastAsia"/>
          <w:sz w:val="26"/>
        </w:rPr>
        <w:t>，在實施營改增後，有多家企業採行主輔分離的行為去因應稅制的轉換－西王集團將其運輸業務分離為西王物流公司，將文化創意與設計部門獨立出去成立印臺山文化發展公司；創新集團將技術研發、產品設計、技術諮詢等部門分離而成山東創新合金研究院，有效提升科研實力並促進集團實力的發展。這些實施主輔分離的集團擁有規模龐大，業務眾多，產業鏈長的特性，在營改增之前，為避免營業稅的重複課徵，選擇將部分服務於集團內部提供與生產。在實施營改增後，將輔助型的服務部門剝離，讓其進入服務業市場</w:t>
      </w:r>
      <w:r w:rsidR="007B1FB6">
        <w:rPr>
          <w:rFonts w:eastAsia="標楷體" w:hint="eastAsia"/>
          <w:sz w:val="26"/>
        </w:rPr>
        <w:t>，</w:t>
      </w:r>
      <w:r w:rsidRPr="006A701C">
        <w:rPr>
          <w:rFonts w:eastAsia="標楷體" w:hint="eastAsia"/>
          <w:sz w:val="26"/>
        </w:rPr>
        <w:t>競爭更加龐大的商機，集團主體也可因組織結構精簡化而使運作彈性上升，在面對快速波動的市場中保有競爭力。</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又如中國財經報對比亞迪公司的訪談中</w:t>
      </w:r>
      <w:r w:rsidR="006A701C" w:rsidRPr="006A701C">
        <w:rPr>
          <w:rFonts w:eastAsia="標楷體"/>
          <w:sz w:val="26"/>
          <w:vertAlign w:val="superscript"/>
        </w:rPr>
        <w:footnoteReference w:id="17"/>
      </w:r>
      <w:r w:rsidRPr="006A701C">
        <w:rPr>
          <w:rFonts w:eastAsia="標楷體" w:hint="eastAsia"/>
          <w:sz w:val="26"/>
        </w:rPr>
        <w:t>，其表示隨著營改增的發展，公司可以有效的梳理其與上下游服務提供者的關係，將公司的經理更加專注於核心的主業上，並將公司打造成一流的企業。於此同時，也因營改增為比亞迪公司帶來的進貨抵扣，使得他們能回饋給配合的物流公司，提高所支付的物流費用，創造雙贏的局面。</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此外，主輔分離的發展也將造成產業總部集聚的效應。營改增對於行業細分和服務外包的發展、尤其是總部經濟的發展有重大的推動作用。集團公司往往把</w:t>
      </w:r>
      <w:r w:rsidRPr="006A701C">
        <w:rPr>
          <w:rFonts w:eastAsia="標楷體"/>
          <w:sz w:val="26"/>
        </w:rPr>
        <w:t>IT</w:t>
      </w:r>
      <w:r w:rsidRPr="006A701C">
        <w:rPr>
          <w:rFonts w:eastAsia="標楷體" w:hint="eastAsia"/>
          <w:sz w:val="26"/>
        </w:rPr>
        <w:t>、財務、人事和研發等功能集中到地區總部，為下屬子公司或分公司提供服務，在原有營業稅制下，由於總部跟分公司之間仍需獨立核算，總部為下屬公司提供服務取得營業收入作為獨立提供服務收入必須繳納營業稅，且不能抵扣，加重了公司總部稅收負擔。營改增之後，總部為下屬企業提供服務開具增值稅發票，可在下屬企業作進項稅抵扣，大</w:t>
      </w:r>
      <w:r w:rsidRPr="006A701C">
        <w:rPr>
          <w:rFonts w:eastAsia="標楷體" w:hint="eastAsia"/>
          <w:sz w:val="26"/>
        </w:rPr>
        <w:lastRenderedPageBreak/>
        <w:t>幅度減輕公司總部為下屬企業提供服務的稅收負擔，使總部經濟得到發展，也為現代服務業在中心城市實現「縱向成鏈、橫向成塊」的集聚創造了基礎</w:t>
      </w:r>
      <w:r w:rsidR="00C47671" w:rsidRPr="006A701C">
        <w:rPr>
          <w:rFonts w:eastAsia="標楷體"/>
          <w:sz w:val="26"/>
          <w:vertAlign w:val="superscript"/>
        </w:rPr>
        <w:footnoteReference w:id="18"/>
      </w:r>
      <w:r w:rsidRPr="006A701C">
        <w:rPr>
          <w:rFonts w:eastAsia="標楷體" w:hint="eastAsia"/>
          <w:sz w:val="26"/>
        </w:rPr>
        <w:t>。</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若再轉從生產性服務業的角度出發，在這一波隨營改增浪潮下帶動的工商部門的主輔分離等結構性改變，也將使得生產性服務業的發展更趨專業化，許多原本並未在市場中出現或需求較少的服務，都將因工商部門可享受服務的進貨抵扣而擴張。生產性服務業市場的廠商為了獲取工商部門的商機，勢必也將著力發展核心部門，以期能提供更專業化的服務。以廣告服務為例，在營改增之前，工商部門若在市場中購買廣告服務則會因稅制不同而無法進行抵扣，因此多選擇於集團內部成立廣告部門因應。但在營改增後，企業可將廣告外包以尋找更佳的廣告製作者的合作，市場中的廣告服務業者，將在更競爭的局面中提升其競爭力。</w:t>
      </w:r>
    </w:p>
    <w:p w:rsidR="006A701C" w:rsidRPr="006A701C" w:rsidRDefault="00DB0C74" w:rsidP="006A701C">
      <w:pPr>
        <w:spacing w:beforeLines="30" w:before="108" w:afterLines="30" w:after="108" w:line="520" w:lineRule="exact"/>
        <w:ind w:firstLineChars="200" w:firstLine="520"/>
        <w:jc w:val="both"/>
        <w:rPr>
          <w:rFonts w:eastAsia="標楷體"/>
          <w:sz w:val="26"/>
        </w:rPr>
      </w:pPr>
      <w:r w:rsidRPr="006A701C">
        <w:rPr>
          <w:rFonts w:eastAsia="標楷體" w:hint="eastAsia"/>
          <w:sz w:val="26"/>
        </w:rPr>
        <w:t>在營改增下，不論是生產性服務業或是工商部門都將優化其組織結構，加強核心能力的培養，並分離輔助性的部門，由大而全的特性轉變至專業化經營的集團模式。在這種模式下，集團不論是在市場上的競爭，或在財務面的調整，都將擁有更彈性的調度模式。在專業化的浪潮下，產業競爭力會提升，也將有效促進產業的升級。</w:t>
      </w:r>
    </w:p>
    <w:p w:rsidR="006A701C" w:rsidRPr="0066401D" w:rsidRDefault="006A701C" w:rsidP="00155D97">
      <w:pPr>
        <w:pStyle w:val="2"/>
        <w:spacing w:beforeLines="150" w:before="540" w:after="108"/>
      </w:pPr>
      <w:bookmarkStart w:id="46" w:name="_Toc405462590"/>
      <w:r w:rsidRPr="0066401D">
        <w:rPr>
          <w:rFonts w:hint="eastAsia"/>
        </w:rPr>
        <w:t>第三節</w:t>
      </w:r>
      <w:r w:rsidRPr="0066401D">
        <w:t xml:space="preserve"> </w:t>
      </w:r>
      <w:r w:rsidRPr="0066401D">
        <w:rPr>
          <w:rFonts w:hint="eastAsia"/>
        </w:rPr>
        <w:t>小結</w:t>
      </w:r>
      <w:bookmarkEnd w:id="46"/>
    </w:p>
    <w:p w:rsidR="00EC2334" w:rsidRPr="0066401D" w:rsidRDefault="00EC2334" w:rsidP="00EC2334">
      <w:pPr>
        <w:pStyle w:val="3"/>
        <w:spacing w:beforeLines="100" w:before="360" w:after="72"/>
        <w:rPr>
          <w:rFonts w:ascii="Times New Roman" w:hAnsi="Times New Roman"/>
        </w:rPr>
      </w:pPr>
      <w:r w:rsidRPr="0066401D">
        <w:rPr>
          <w:rFonts w:ascii="Times New Roman" w:hAnsi="Times New Roman" w:hint="eastAsia"/>
        </w:rPr>
        <w:t>壹、營改增政策影響總結</w:t>
      </w:r>
    </w:p>
    <w:p w:rsidR="00EC2334" w:rsidRPr="006A701C" w:rsidRDefault="00EC2334" w:rsidP="00EC2334">
      <w:pPr>
        <w:spacing w:beforeLines="30" w:before="108" w:afterLines="30" w:after="108" w:line="520" w:lineRule="exact"/>
        <w:ind w:firstLineChars="200" w:firstLine="520"/>
        <w:jc w:val="both"/>
        <w:rPr>
          <w:rFonts w:eastAsia="標楷體"/>
          <w:sz w:val="26"/>
        </w:rPr>
      </w:pPr>
      <w:r w:rsidRPr="006A701C">
        <w:rPr>
          <w:rFonts w:eastAsia="標楷體" w:hint="eastAsia"/>
          <w:sz w:val="26"/>
        </w:rPr>
        <w:t>營改增自</w:t>
      </w:r>
      <w:r w:rsidRPr="006A701C">
        <w:rPr>
          <w:rFonts w:eastAsia="標楷體"/>
          <w:sz w:val="26"/>
        </w:rPr>
        <w:t>2012</w:t>
      </w:r>
      <w:r w:rsidRPr="006A701C">
        <w:rPr>
          <w:rFonts w:eastAsia="標楷體" w:hint="eastAsia"/>
          <w:sz w:val="26"/>
        </w:rPr>
        <w:t>於上海試點實施以來，從</w:t>
      </w:r>
      <w:r w:rsidRPr="006A701C">
        <w:rPr>
          <w:rFonts w:eastAsia="標楷體"/>
          <w:sz w:val="26"/>
        </w:rPr>
        <w:t>1+6</w:t>
      </w:r>
      <w:r w:rsidRPr="006A701C">
        <w:rPr>
          <w:rFonts w:eastAsia="標楷體" w:hint="eastAsia"/>
          <w:sz w:val="26"/>
        </w:rPr>
        <w:t>產業擴充至郵政與鐵路運輸，實施狀況穩定後將營改增推行至全國範圍，爾後其他產業的營改增政策通知也陸續發布。此一歷史性的重大稅制轉型，有著其對企業短期的</w:t>
      </w:r>
      <w:r w:rsidRPr="006A701C">
        <w:rPr>
          <w:rFonts w:eastAsia="標楷體" w:hint="eastAsia"/>
          <w:sz w:val="26"/>
        </w:rPr>
        <w:lastRenderedPageBreak/>
        <w:t>直接影響，更有其長遠的產業升級效果，在進一步討論營改增對我國之意涵之前，先就前述營改增之主要影響進行總結。</w:t>
      </w:r>
    </w:p>
    <w:p w:rsidR="00EC2334" w:rsidRPr="006A701C" w:rsidRDefault="00EC2334" w:rsidP="00EC2334">
      <w:pPr>
        <w:spacing w:beforeLines="30" w:before="108" w:afterLines="30" w:after="108" w:line="520" w:lineRule="exact"/>
        <w:ind w:firstLineChars="200" w:firstLine="520"/>
        <w:jc w:val="both"/>
        <w:rPr>
          <w:rFonts w:eastAsia="標楷體"/>
          <w:sz w:val="26"/>
        </w:rPr>
      </w:pPr>
      <w:r w:rsidRPr="006A701C">
        <w:rPr>
          <w:rFonts w:eastAsia="標楷體" w:hint="eastAsia"/>
          <w:sz w:val="26"/>
        </w:rPr>
        <w:t>首先，營改增的實施企業將直接面臨稅負變動所產生的利潤影響。在營改增之前生產性服務業多課徵</w:t>
      </w:r>
      <w:r w:rsidRPr="006A701C">
        <w:rPr>
          <w:rFonts w:eastAsia="標楷體"/>
          <w:sz w:val="26"/>
        </w:rPr>
        <w:t>5%</w:t>
      </w:r>
      <w:r w:rsidRPr="006A701C">
        <w:rPr>
          <w:rFonts w:eastAsia="標楷體" w:hint="eastAsia"/>
          <w:sz w:val="26"/>
        </w:rPr>
        <w:t>之營業稅，在改增值稅後其稅率因產業性質的不同調整至</w:t>
      </w:r>
      <w:r w:rsidRPr="006A701C">
        <w:rPr>
          <w:rFonts w:eastAsia="標楷體"/>
          <w:sz w:val="26"/>
        </w:rPr>
        <w:t>6%</w:t>
      </w:r>
      <w:r w:rsidRPr="006A701C">
        <w:rPr>
          <w:rFonts w:eastAsia="標楷體" w:hint="eastAsia"/>
          <w:sz w:val="26"/>
        </w:rPr>
        <w:t>、</w:t>
      </w:r>
      <w:r w:rsidRPr="006A701C">
        <w:rPr>
          <w:rFonts w:eastAsia="標楷體"/>
          <w:sz w:val="26"/>
        </w:rPr>
        <w:t>11%</w:t>
      </w:r>
      <w:r w:rsidRPr="006A701C">
        <w:rPr>
          <w:rFonts w:eastAsia="標楷體" w:hint="eastAsia"/>
          <w:sz w:val="26"/>
        </w:rPr>
        <w:t>、</w:t>
      </w:r>
      <w:r w:rsidRPr="006A701C">
        <w:rPr>
          <w:rFonts w:eastAsia="標楷體"/>
          <w:sz w:val="26"/>
        </w:rPr>
        <w:t>13%</w:t>
      </w:r>
      <w:r w:rsidRPr="006A701C">
        <w:rPr>
          <w:rFonts w:eastAsia="標楷體" w:hint="eastAsia"/>
          <w:sz w:val="26"/>
        </w:rPr>
        <w:t>與</w:t>
      </w:r>
      <w:r w:rsidRPr="006A701C">
        <w:rPr>
          <w:rFonts w:eastAsia="標楷體"/>
          <w:sz w:val="26"/>
        </w:rPr>
        <w:t>17%</w:t>
      </w:r>
      <w:r w:rsidRPr="006A701C">
        <w:rPr>
          <w:rFonts w:eastAsia="標楷體" w:hint="eastAsia"/>
          <w:sz w:val="26"/>
        </w:rPr>
        <w:t>，就稅率的變動來看企業多面臨稅負增加的問題。但增值稅的另一特性是允許進項抵扣，此特性不僅減少重複課稅的情形也能有效幫助有購買設備、原料或其他上游服務的企業獲得稅的抵扣，因此擁有越多進項抵扣的企業將越能在這波營改增的減稅潮中獲益。同時間，雖營改增主要針對的是服務業（現階段著重在生產性服務業），但同時也連帶使其下游的工商部門受益，原本因稅制不同無法抵扣的服務業也能在此時成為企業的抵扣項目。營改增實施以來，整體而言普遍稅負是降低的。</w:t>
      </w:r>
    </w:p>
    <w:p w:rsidR="00EC2334" w:rsidRPr="006A701C" w:rsidRDefault="00EC2334" w:rsidP="00EC2334">
      <w:pPr>
        <w:spacing w:beforeLines="30" w:before="108" w:afterLines="30" w:after="108" w:line="520" w:lineRule="exact"/>
        <w:ind w:firstLineChars="200" w:firstLine="520"/>
        <w:jc w:val="both"/>
        <w:rPr>
          <w:rFonts w:eastAsia="標楷體"/>
          <w:sz w:val="26"/>
        </w:rPr>
      </w:pPr>
      <w:r w:rsidRPr="006A701C">
        <w:rPr>
          <w:rFonts w:eastAsia="標楷體" w:hint="eastAsia"/>
          <w:sz w:val="26"/>
        </w:rPr>
        <w:t>再者，增值稅所造成服務業市場與工商部門市場擴大也是營改增的正面影響。生產性服務業因為進項抵扣而能夠以更低成本去購買與更新其設備，同時因應其下游的工商部門的服務需求，而擴大其原有業務與新增服務業態；工商部門因在市場上接受服務可憑增值稅發票抵扣，而將原有的服務外包至市場中進行交易，或進行主輔分離，將服務部門獨立，擴大服務業市場的同時也因自身的成本降低，效率提升而對工商部門市場也產生正面影響。</w:t>
      </w:r>
    </w:p>
    <w:p w:rsidR="00EC2334" w:rsidRDefault="00EC2334" w:rsidP="00EC2334">
      <w:pPr>
        <w:spacing w:beforeLines="30" w:before="108" w:afterLines="30" w:after="108" w:line="520" w:lineRule="exact"/>
        <w:ind w:firstLineChars="200" w:firstLine="520"/>
        <w:jc w:val="both"/>
        <w:rPr>
          <w:rFonts w:eastAsia="標楷體"/>
          <w:sz w:val="26"/>
        </w:rPr>
      </w:pPr>
      <w:r w:rsidRPr="006A701C">
        <w:rPr>
          <w:rFonts w:eastAsia="標楷體" w:hint="eastAsia"/>
          <w:sz w:val="26"/>
        </w:rPr>
        <w:t>再就營改增所帶來的企業行為改變，因為營改增的推動而進行主輔分離後，企業可由大而全轉為專業化的經營，企業將重心放於其核心競爭的業務上，將其輔助性的部門剝離，並以集團方式控股，如此不僅可提升核心產業的競爭力，也對於企業集團運作提供了更大的空間與彈性。此外，主輔分離也將帶來總部經濟聚集的人才與資源配置效果。</w:t>
      </w:r>
    </w:p>
    <w:p w:rsidR="00EC2334" w:rsidRDefault="00EC2334" w:rsidP="00EC2334">
      <w:pPr>
        <w:spacing w:beforeLines="30" w:before="108" w:afterLines="30" w:after="108" w:line="520" w:lineRule="exact"/>
        <w:ind w:firstLineChars="200" w:firstLine="520"/>
        <w:jc w:val="both"/>
        <w:rPr>
          <w:rFonts w:eastAsia="標楷體"/>
          <w:sz w:val="26"/>
        </w:rPr>
      </w:pPr>
      <w:r>
        <w:rPr>
          <w:rFonts w:eastAsia="標楷體" w:hint="eastAsia"/>
          <w:sz w:val="26"/>
        </w:rPr>
        <w:t>最後，大致總結其影響如下：</w:t>
      </w:r>
      <w:r w:rsidRPr="006A701C">
        <w:rPr>
          <w:rFonts w:eastAsia="標楷體" w:hint="eastAsia"/>
          <w:sz w:val="26"/>
        </w:rPr>
        <w:t>生產性服務業</w:t>
      </w:r>
      <w:r>
        <w:rPr>
          <w:rFonts w:eastAsia="標楷體" w:hint="eastAsia"/>
          <w:sz w:val="26"/>
        </w:rPr>
        <w:t>市場規模擴大、業務種類更豐富、企業專業化經營程度提升；運用服務投入多之工商企業成本下降、</w:t>
      </w:r>
      <w:r>
        <w:rPr>
          <w:rFonts w:eastAsia="標楷體" w:hint="eastAsia"/>
          <w:sz w:val="26"/>
        </w:rPr>
        <w:lastRenderedPageBreak/>
        <w:t>服務投入選擇變多、可能透過業務外包或剝離而更專注於核心業務之經營；整體而言，二三級產業融合程度提升，競爭力因而皆能夠有所提升，集團企業業務布局彈性提高。</w:t>
      </w:r>
    </w:p>
    <w:p w:rsidR="005C74AB" w:rsidRPr="006A701C" w:rsidRDefault="005C74AB" w:rsidP="00EC2334">
      <w:pPr>
        <w:spacing w:beforeLines="30" w:before="108" w:afterLines="30" w:after="108" w:line="520" w:lineRule="exact"/>
        <w:ind w:firstLineChars="200" w:firstLine="520"/>
        <w:jc w:val="both"/>
        <w:rPr>
          <w:rFonts w:eastAsia="標楷體"/>
          <w:sz w:val="26"/>
        </w:rPr>
      </w:pPr>
      <w:r>
        <w:rPr>
          <w:rFonts w:eastAsia="標楷體" w:hint="eastAsia"/>
          <w:sz w:val="26"/>
        </w:rPr>
        <w:t>未來中國大陸持續推動營改增，其對於產業健康與融合發展，長期來看應該主要都是正面的，而其挑戰來自於營改增所牽動的中央地方財政分配的問題，這部分又涉及整體財稅改革，不在此細述。</w:t>
      </w:r>
    </w:p>
    <w:p w:rsidR="00EC2334" w:rsidRPr="005B0C2E" w:rsidRDefault="00EC2334" w:rsidP="00EC2334">
      <w:pPr>
        <w:pStyle w:val="3"/>
        <w:spacing w:beforeLines="100" w:before="360" w:after="72"/>
        <w:rPr>
          <w:rFonts w:ascii="Times New Roman" w:hAnsi="Times New Roman"/>
        </w:rPr>
      </w:pPr>
      <w:r w:rsidRPr="005B0C2E">
        <w:rPr>
          <w:rFonts w:ascii="Times New Roman" w:hAnsi="Times New Roman" w:hint="eastAsia"/>
        </w:rPr>
        <w:t>貳、營改增效應對我國產業發展之意涵</w:t>
      </w:r>
    </w:p>
    <w:p w:rsidR="00EC2334" w:rsidRPr="005B0C2E" w:rsidRDefault="00EC2334" w:rsidP="00EC2334">
      <w:pPr>
        <w:spacing w:beforeLines="30" w:before="108" w:afterLines="30" w:after="108" w:line="520" w:lineRule="exact"/>
        <w:ind w:firstLineChars="200" w:firstLine="520"/>
        <w:jc w:val="both"/>
        <w:rPr>
          <w:rFonts w:eastAsia="標楷體"/>
          <w:sz w:val="26"/>
        </w:rPr>
      </w:pPr>
      <w:r w:rsidRPr="005B0C2E">
        <w:rPr>
          <w:rFonts w:eastAsia="標楷體" w:hint="eastAsia"/>
          <w:sz w:val="26"/>
        </w:rPr>
        <w:t>由上述對於中國大陸營改增對其產業之影響分析，配合目前各項促進生產性服務業發展之政策，可以看到未來中國大陸生產性服務業及與其關聯較密切之工商產業，都將受益於稅制調整以及促進政策，而將對於其長期的提升與發展有很大的助益。對於我國而言，由於製造業發展較早，特定行業亦具有國際競爭力以及與國際接軌能力較強，中國大陸所謂的生產性服務當中，與製造業關係較密切的</w:t>
      </w:r>
      <w:r w:rsidR="0035101D">
        <w:rPr>
          <w:rFonts w:eastAsia="標楷體" w:hint="eastAsia"/>
          <w:sz w:val="26"/>
        </w:rPr>
        <w:t>部分</w:t>
      </w:r>
      <w:r w:rsidRPr="005B0C2E">
        <w:rPr>
          <w:rFonts w:eastAsia="標楷體" w:hint="eastAsia"/>
          <w:sz w:val="26"/>
        </w:rPr>
        <w:t>，我國相對於中國大陸多半具有一定的領先優勢，這也是在思考營改增對我國之意涵時，最應該關注的分析角度。以下我們將從我國生產性服務業以及製造業的角度，首先探討營改增帶來之效應對其在中國大陸境內經營之影響，再分析其對位於我國境內經營企業之意涵，最後綜整論述之。</w:t>
      </w:r>
    </w:p>
    <w:p w:rsidR="00EC2334" w:rsidRDefault="00EC2334" w:rsidP="00EC2334">
      <w:pPr>
        <w:spacing w:beforeLines="30" w:before="108" w:afterLines="30" w:after="108" w:line="520" w:lineRule="exact"/>
        <w:ind w:firstLineChars="200" w:firstLine="520"/>
        <w:jc w:val="both"/>
        <w:rPr>
          <w:rFonts w:eastAsia="標楷體"/>
          <w:sz w:val="26"/>
        </w:rPr>
      </w:pPr>
      <w:r>
        <w:rPr>
          <w:rFonts w:eastAsia="標楷體" w:hint="eastAsia"/>
          <w:sz w:val="26"/>
        </w:rPr>
        <w:t>就我國生產性服務業在中國大陸之發展，包括已經在當地以及潛在投資者，未來可以預期在此有更多產業機會，包括工商企業外包之服務、稅負更少的環境、以及投資設備與上游服務的優化等；當然，與此同時也要面對更多來自當地以及國際同領域企業之競爭，但是透過既有與製造業</w:t>
      </w:r>
      <w:r w:rsidR="008B0303">
        <w:rPr>
          <w:rFonts w:eastAsia="標楷體" w:hint="eastAsia"/>
          <w:sz w:val="26"/>
        </w:rPr>
        <w:t>臺</w:t>
      </w:r>
      <w:r>
        <w:rPr>
          <w:rFonts w:eastAsia="標楷體" w:hint="eastAsia"/>
          <w:sz w:val="26"/>
        </w:rPr>
        <w:t>商之供應鏈緊密度，應該在競爭製造業</w:t>
      </w:r>
      <w:r w:rsidR="008B0303">
        <w:rPr>
          <w:rFonts w:eastAsia="標楷體" w:hint="eastAsia"/>
          <w:sz w:val="26"/>
        </w:rPr>
        <w:t>臺</w:t>
      </w:r>
      <w:r>
        <w:rPr>
          <w:rFonts w:eastAsia="標楷體" w:hint="eastAsia"/>
          <w:sz w:val="26"/>
        </w:rPr>
        <w:t>商的商機上更有優勢。而對於在我國境內之生產性服務業廠商而言，亦更有機會透過服務貿易的方式來跨境提供位於中國大陸經營之工商企業服務。</w:t>
      </w:r>
    </w:p>
    <w:p w:rsidR="00EC2334" w:rsidRDefault="00EC2334" w:rsidP="00EC2334">
      <w:pPr>
        <w:spacing w:beforeLines="30" w:before="108" w:afterLines="30" w:after="108" w:line="520" w:lineRule="exact"/>
        <w:ind w:firstLineChars="200" w:firstLine="520"/>
        <w:jc w:val="both"/>
        <w:rPr>
          <w:rFonts w:eastAsia="標楷體"/>
          <w:sz w:val="26"/>
        </w:rPr>
      </w:pPr>
      <w:r>
        <w:rPr>
          <w:rFonts w:eastAsia="標楷體" w:hint="eastAsia"/>
          <w:sz w:val="26"/>
        </w:rPr>
        <w:lastRenderedPageBreak/>
        <w:t>其次，就我國製造業</w:t>
      </w:r>
      <w:r w:rsidR="008B0303">
        <w:rPr>
          <w:rFonts w:eastAsia="標楷體" w:hint="eastAsia"/>
          <w:sz w:val="26"/>
        </w:rPr>
        <w:t>臺</w:t>
      </w:r>
      <w:r>
        <w:rPr>
          <w:rFonts w:eastAsia="標楷體" w:hint="eastAsia"/>
          <w:sz w:val="26"/>
        </w:rPr>
        <w:t>商而言，其面對更多更優質的服務提供市場，同時也可以就其服務購買做為進項抵扣，對於其營運效益將有所提升；對於原本集團內部即有服務部門的</w:t>
      </w:r>
      <w:r w:rsidR="008B0303">
        <w:rPr>
          <w:rFonts w:eastAsia="標楷體" w:hint="eastAsia"/>
          <w:sz w:val="26"/>
        </w:rPr>
        <w:t>臺</w:t>
      </w:r>
      <w:r>
        <w:rPr>
          <w:rFonts w:eastAsia="標楷體" w:hint="eastAsia"/>
          <w:sz w:val="26"/>
        </w:rPr>
        <w:t>商，可以考慮將各式業務獨立為子公司，專門提供母公司服務或甚至向外開拓市場都是可行方式，增加了企業布局的便利性。而對於在</w:t>
      </w:r>
      <w:r w:rsidR="008B0303">
        <w:rPr>
          <w:rFonts w:eastAsia="標楷體" w:hint="eastAsia"/>
          <w:sz w:val="26"/>
        </w:rPr>
        <w:t>臺</w:t>
      </w:r>
      <w:r>
        <w:rPr>
          <w:rFonts w:eastAsia="標楷體" w:hint="eastAsia"/>
          <w:sz w:val="26"/>
        </w:rPr>
        <w:t>的製造廠商而言，未來亦有可能可以利用更多跨境提供、來自在中國大陸境內營運之服務業者（亦包括服務業</w:t>
      </w:r>
      <w:r w:rsidR="008B0303">
        <w:rPr>
          <w:rFonts w:eastAsia="標楷體" w:hint="eastAsia"/>
          <w:sz w:val="26"/>
        </w:rPr>
        <w:t>臺</w:t>
      </w:r>
      <w:r>
        <w:rPr>
          <w:rFonts w:eastAsia="標楷體" w:hint="eastAsia"/>
          <w:sz w:val="26"/>
        </w:rPr>
        <w:t>商）的服務。</w:t>
      </w:r>
    </w:p>
    <w:p w:rsidR="00ED5FA5" w:rsidRPr="006A701C" w:rsidRDefault="00EC2334" w:rsidP="005C74AB">
      <w:pPr>
        <w:spacing w:beforeLines="30" w:before="108" w:afterLines="30" w:after="108" w:line="520" w:lineRule="exact"/>
        <w:ind w:firstLineChars="200" w:firstLine="520"/>
        <w:jc w:val="both"/>
        <w:rPr>
          <w:rFonts w:eastAsia="標楷體"/>
          <w:sz w:val="26"/>
        </w:rPr>
      </w:pPr>
      <w:r>
        <w:rPr>
          <w:rFonts w:eastAsia="標楷體" w:hint="eastAsia"/>
          <w:sz w:val="26"/>
        </w:rPr>
        <w:t>整體而言，由於營改增推進了生產性服務業在中國大陸的發展空間，將</w:t>
      </w:r>
      <w:r w:rsidRPr="005B0C2E">
        <w:rPr>
          <w:rFonts w:eastAsia="標楷體" w:hint="eastAsia"/>
          <w:sz w:val="26"/>
        </w:rPr>
        <w:t>改變中國大陸服務業與製造業之間的分工與發展，</w:t>
      </w:r>
      <w:r>
        <w:rPr>
          <w:rFonts w:eastAsia="標楷體" w:hint="eastAsia"/>
          <w:sz w:val="26"/>
        </w:rPr>
        <w:t>同時也間接將影響我國服務業與製造業在兩岸布局的思維。若以強化我國整體產業在</w:t>
      </w:r>
      <w:r w:rsidR="008B0303">
        <w:rPr>
          <w:rFonts w:eastAsia="標楷體" w:hint="eastAsia"/>
          <w:sz w:val="26"/>
        </w:rPr>
        <w:t>臺</w:t>
      </w:r>
      <w:r>
        <w:rPr>
          <w:rFonts w:eastAsia="標楷體" w:hint="eastAsia"/>
          <w:sz w:val="26"/>
        </w:rPr>
        <w:t>發展的角度，考量我國較有優勢之營改增範圍內之生產性服務業，我們建議政府針對</w:t>
      </w:r>
      <w:r w:rsidRPr="005B0C2E">
        <w:rPr>
          <w:rFonts w:eastAsia="標楷體" w:hint="eastAsia"/>
          <w:sz w:val="26"/>
        </w:rPr>
        <w:t>研發和技術服務、資訊技術服務、文化創意服務、鑒證諮詢服務</w:t>
      </w:r>
      <w:r>
        <w:rPr>
          <w:rFonts w:eastAsia="標楷體" w:hint="eastAsia"/>
          <w:sz w:val="26"/>
        </w:rPr>
        <w:t>等四類優勢服務業，推動有助於其跨境向中國大陸</w:t>
      </w:r>
      <w:r w:rsidR="008B0303">
        <w:rPr>
          <w:rFonts w:eastAsia="標楷體" w:hint="eastAsia"/>
          <w:sz w:val="26"/>
        </w:rPr>
        <w:t>臺</w:t>
      </w:r>
      <w:r>
        <w:rPr>
          <w:rFonts w:eastAsia="標楷體" w:hint="eastAsia"/>
          <w:sz w:val="26"/>
        </w:rPr>
        <w:t>商與當地或國際企業提供服務之政策；針對上述四類服務業中有必要赴客戶所在地投資的細類行業或特殊情況，再納入我國亦有優勢之</w:t>
      </w:r>
      <w:r w:rsidRPr="005B0C2E">
        <w:rPr>
          <w:rFonts w:eastAsia="標楷體" w:hint="eastAsia"/>
          <w:sz w:val="26"/>
        </w:rPr>
        <w:t>水路運輸服務、有形動產租賃</w:t>
      </w:r>
      <w:r>
        <w:rPr>
          <w:rFonts w:eastAsia="標楷體" w:hint="eastAsia"/>
          <w:sz w:val="26"/>
        </w:rPr>
        <w:t>業，推動有助於排除其赴大陸投資之障礙，藉由擴大海外投資來壯大我國經濟與產業實力。</w:t>
      </w:r>
    </w:p>
    <w:p w:rsidR="0017389E" w:rsidRPr="00EC2334" w:rsidRDefault="0017389E" w:rsidP="00EC2334">
      <w:pPr>
        <w:spacing w:beforeLines="30" w:before="108" w:afterLines="30" w:after="108" w:line="520" w:lineRule="exact"/>
        <w:ind w:firstLineChars="200" w:firstLine="520"/>
        <w:jc w:val="both"/>
        <w:rPr>
          <w:rFonts w:eastAsia="標楷體"/>
          <w:sz w:val="26"/>
        </w:rPr>
        <w:sectPr w:rsidR="0017389E" w:rsidRPr="00EC2334" w:rsidSect="00510EC9">
          <w:type w:val="oddPage"/>
          <w:pgSz w:w="11906" w:h="16838"/>
          <w:pgMar w:top="1440" w:right="1800" w:bottom="1440" w:left="1800" w:header="851" w:footer="992" w:gutter="0"/>
          <w:cols w:space="425"/>
          <w:docGrid w:type="lines" w:linePitch="360"/>
        </w:sectPr>
      </w:pPr>
    </w:p>
    <w:p w:rsidR="00FC7402" w:rsidRPr="009F2A4B" w:rsidRDefault="00DB0C74" w:rsidP="00FC7402">
      <w:pPr>
        <w:pStyle w:val="1"/>
      </w:pPr>
      <w:bookmarkStart w:id="47" w:name="_Toc405462591"/>
      <w:r w:rsidRPr="00214216">
        <w:rPr>
          <w:rFonts w:hint="eastAsia"/>
        </w:rPr>
        <w:lastRenderedPageBreak/>
        <w:t>第四章　中國大陸對外開放及區域經貿戰略之調整</w:t>
      </w:r>
      <w:bookmarkEnd w:id="47"/>
    </w:p>
    <w:p w:rsidR="00FC7402" w:rsidRDefault="00DB0C74" w:rsidP="00FC7402">
      <w:pPr>
        <w:pStyle w:val="-"/>
        <w:spacing w:before="108" w:after="108"/>
        <w:ind w:firstLine="520"/>
      </w:pPr>
      <w:r>
        <w:rPr>
          <w:rFonts w:hint="eastAsia"/>
        </w:rPr>
        <w:t>習李新政的區域經貿戰略為因應國際局勢變化進行動態調整，三中全會改革文件《決定》當中提出「構建開放型經濟新體制」為排序第六的改革領域，主要思維在於對內與對外開放相互促進、讓引進來與走出去有更佳結合、促進國際國內要素自由流動、加快培育參與和引領國際經濟合作競爭新優勢，以「開放」促進改革。「構建開放型經濟新體制」是因應國際新形式的背景下所提出，既是對過去</w:t>
      </w:r>
      <w:r>
        <w:t>35</w:t>
      </w:r>
      <w:r>
        <w:rPr>
          <w:rFonts w:hint="eastAsia"/>
        </w:rPr>
        <w:t>年來中國大陸改革開放經驗的繼承，也是在制度層面的發展具體化。具體內容包含放寬投資准入、加快自由貿易區建設和擴大內陸沿邊開放。</w:t>
      </w:r>
    </w:p>
    <w:p w:rsidR="00FC7402" w:rsidRPr="00741067" w:rsidRDefault="00DB0C74" w:rsidP="00FC7402">
      <w:pPr>
        <w:pStyle w:val="-"/>
        <w:spacing w:before="108" w:after="108"/>
        <w:ind w:firstLine="520"/>
      </w:pPr>
      <w:r w:rsidRPr="00741067">
        <w:rPr>
          <w:rFonts w:hint="eastAsia"/>
        </w:rPr>
        <w:t>中國大陸在十六大到十七大胡溫時代，外交</w:t>
      </w:r>
      <w:r w:rsidR="00E41F3A">
        <w:rPr>
          <w:rFonts w:hint="eastAsia"/>
        </w:rPr>
        <w:t>布局</w:t>
      </w:r>
      <w:r w:rsidRPr="00741067">
        <w:rPr>
          <w:rFonts w:hint="eastAsia"/>
        </w:rPr>
        <w:t>順序是「發達國家、周邊國家、第三世界、多邊外交」，十八大換屆後加以表述為「</w:t>
      </w:r>
      <w:r w:rsidRPr="004A0EA1">
        <w:rPr>
          <w:rFonts w:hint="eastAsia"/>
          <w:b/>
        </w:rPr>
        <w:t>大國是關鍵、周邊是首要、發展中國家是基礎、多邊是重要舞臺</w:t>
      </w:r>
      <w:r w:rsidRPr="00741067">
        <w:rPr>
          <w:rFonts w:hint="eastAsia"/>
        </w:rPr>
        <w:t>」。而對外經貿戰略是整體外交</w:t>
      </w:r>
      <w:r w:rsidR="00E41F3A">
        <w:rPr>
          <w:rFonts w:hint="eastAsia"/>
        </w:rPr>
        <w:t>布局</w:t>
      </w:r>
      <w:r w:rsidRPr="00741067">
        <w:rPr>
          <w:rFonts w:hint="eastAsia"/>
        </w:rPr>
        <w:t>的相當重要的一環，尤其中國大陸已經跳脫過去以經濟發展階段、意識形態、社會制度來區分敵友的格局，而是以國家發展的自身需求為基礎，主動和務實地擴展對外關係，因此經貿外交會是中國大陸對外關係的主軸。</w:t>
      </w:r>
    </w:p>
    <w:p w:rsidR="00FC7402" w:rsidRPr="00741067" w:rsidRDefault="00DB0C74" w:rsidP="00FC7402">
      <w:pPr>
        <w:pStyle w:val="-"/>
        <w:spacing w:before="108" w:after="108"/>
        <w:ind w:firstLine="520"/>
      </w:pPr>
      <w:r w:rsidRPr="00741067">
        <w:rPr>
          <w:rFonts w:hint="eastAsia"/>
        </w:rPr>
        <w:t>從胡溫時代到習李新政，對外經貿戰略出現明顯的改變，從整體外交思維來看，習李已經不再設定外交順序，而是明確地落實全方位外交，將大國、周邊、發展中國家和多邊外交相結合。由於前陣子釣魚臺和南海等問題突出，美國與周邊國家的不友善，使新任領導人意識到與周邊國家維持穩定關係的重要性，再加上地緣關係影響到中國大陸擴展其他外交關係，因此周邊地區被放在首要位置。另外，在多邊外交積極扮演參與者甚至是主導者的角色，像是對內有上海自貿區的制度試驗，對外主導</w:t>
      </w:r>
      <w:r w:rsidRPr="00741067">
        <w:t>RCEP</w:t>
      </w:r>
      <w:r w:rsidRPr="00741067">
        <w:rPr>
          <w:rFonts w:hint="eastAsia"/>
        </w:rPr>
        <w:t>、表態不排除參與</w:t>
      </w:r>
      <w:r w:rsidRPr="00741067">
        <w:t>TPP</w:t>
      </w:r>
      <w:r w:rsidR="004A0EA1">
        <w:rPr>
          <w:rFonts w:hint="eastAsia"/>
        </w:rPr>
        <w:t>，更積極推動亞太自貿區</w:t>
      </w:r>
      <w:r w:rsidRPr="00741067">
        <w:rPr>
          <w:rFonts w:hint="eastAsia"/>
        </w:rPr>
        <w:t>。</w:t>
      </w:r>
    </w:p>
    <w:p w:rsidR="00FC7402" w:rsidRPr="00741067" w:rsidRDefault="00DB0C74" w:rsidP="00FC7402">
      <w:pPr>
        <w:pStyle w:val="-"/>
        <w:spacing w:before="108" w:after="108"/>
        <w:ind w:firstLine="520"/>
      </w:pPr>
      <w:r w:rsidRPr="00741067">
        <w:rPr>
          <w:rFonts w:hint="eastAsia"/>
        </w:rPr>
        <w:lastRenderedPageBreak/>
        <w:t>過去中國大陸依靠廉價產品取得強勁的出口優勢，但也因此佔據過大的市場份額，在國際上常掀起抵觸的聲浪，像是中美歐雙反貿易戰等。中國大陸意識到對外經貿政策不能再像過往以自我中心為出發，只重視怎麼引進來和走出去、如何利用別人市場的單向思維。因此在習近平提出「中國夢」的概念下，以建立新的大國形象為主軸，在爭取海外資源、市場、投資的同時，更重視平衡、尊重和合作。從周邊為首要來看，中國大陸希望透過自身發展更好惠及周邊國家，並以大國姿態主導區域的發展，像是絲綢之陸經濟帶和</w:t>
      </w:r>
      <w:r w:rsidRPr="00741067">
        <w:t>21</w:t>
      </w:r>
      <w:r w:rsidRPr="00741067">
        <w:rPr>
          <w:rFonts w:hint="eastAsia"/>
        </w:rPr>
        <w:t>世紀海上絲綢之路的戰略提出，即是對內發展中西部地區，對外擴展中亞、東南亞、南亞和歐洲市場和投資，並同時幫助中亞和東南亞等發展中國家投資基礎建設和產業發展，形成共建的思維。</w:t>
      </w:r>
    </w:p>
    <w:p w:rsidR="00FC7402" w:rsidRPr="00741067" w:rsidRDefault="00DB0C74" w:rsidP="00FC7402">
      <w:pPr>
        <w:pStyle w:val="-"/>
        <w:spacing w:before="108" w:after="108"/>
        <w:ind w:firstLine="520"/>
      </w:pPr>
      <w:r w:rsidRPr="00741067">
        <w:rPr>
          <w:rFonts w:hint="eastAsia"/>
        </w:rPr>
        <w:t>在引進來和走出去方面，習李的對外經貿戰略更強調「走出去」，但有別於過去的戰略思維，以前走出去多半為了取得能源、技術和市場，較自我利益為中心。現在把重心放在以援助外交帶動企業走出去，像是協助周邊國家進行基礎建設，利用高鐵外交對內化解該行業產能過剩問題，對外協助鄰近國家建設發展，有助於區域融合發展。</w:t>
      </w:r>
    </w:p>
    <w:p w:rsidR="00FC7402" w:rsidRDefault="00DB0C74" w:rsidP="00FC7402">
      <w:pPr>
        <w:pStyle w:val="-"/>
        <w:spacing w:before="108" w:after="108"/>
        <w:ind w:firstLine="520"/>
      </w:pPr>
      <w:r w:rsidRPr="00741067">
        <w:rPr>
          <w:rFonts w:hint="eastAsia"/>
        </w:rPr>
        <w:t>整體而言，習近平和李克強對外經貿戰略已經完全走出鄧小平「韜光養晦」路線，而是以「奮發有為」的大國風範圍為核心思維。也就是說改變過去問題反應式的做法，轉由按照自己的步調擴展對外經貿關係。這項重要的改變顯現未來中國大陸將以更主動積極融入世界經濟發展，並展開一套自己的做法，尤其是主導話語權和議題的設置。</w:t>
      </w:r>
    </w:p>
    <w:p w:rsidR="00FC7402" w:rsidRDefault="00DB0C74" w:rsidP="00FC7402">
      <w:pPr>
        <w:pStyle w:val="-"/>
        <w:spacing w:before="108" w:after="108"/>
        <w:ind w:firstLine="520"/>
      </w:pPr>
      <w:r>
        <w:t>2014</w:t>
      </w:r>
      <w:r>
        <w:rPr>
          <w:rFonts w:hint="eastAsia"/>
        </w:rPr>
        <w:t>年初，中國大陸全國兩會發布之政府工作報告將「開創高水平對外開放新局面」列為第二個重點工作，依據《決定》的「構建開放型經濟新體制」提出</w:t>
      </w:r>
      <w:r>
        <w:t>2014</w:t>
      </w:r>
      <w:r>
        <w:rPr>
          <w:rFonts w:hint="eastAsia"/>
        </w:rPr>
        <w:t>年重點工作包含：擴大全方位主動開放；從戰略高度推動出口升級和貿易</w:t>
      </w:r>
      <w:r w:rsidRPr="00C53A21">
        <w:rPr>
          <w:rFonts w:hint="eastAsia"/>
        </w:rPr>
        <w:t>平衡發展；在走出去中提升競爭力；統籌多雙邊和區域開放合作</w:t>
      </w:r>
      <w:r>
        <w:rPr>
          <w:rFonts w:hint="eastAsia"/>
        </w:rPr>
        <w:t>等</w:t>
      </w:r>
      <w:r w:rsidRPr="00C53A21">
        <w:rPr>
          <w:rFonts w:hint="eastAsia"/>
        </w:rPr>
        <w:t>。</w:t>
      </w:r>
    </w:p>
    <w:p w:rsidR="00FC7402" w:rsidRDefault="00DB0C74" w:rsidP="00FC7402">
      <w:pPr>
        <w:pStyle w:val="-"/>
        <w:spacing w:before="108" w:after="108"/>
        <w:ind w:firstLine="520"/>
      </w:pPr>
      <w:r w:rsidRPr="00C53A21">
        <w:rPr>
          <w:rFonts w:hint="eastAsia"/>
        </w:rPr>
        <w:t>以下將</w:t>
      </w:r>
      <w:r>
        <w:rPr>
          <w:rFonts w:hint="eastAsia"/>
        </w:rPr>
        <w:t>先研析</w:t>
      </w:r>
      <w:r w:rsidRPr="00C53A21">
        <w:rPr>
          <w:rFonts w:hint="eastAsia"/>
        </w:rPr>
        <w:t>海陸絲綢之路</w:t>
      </w:r>
      <w:r>
        <w:rPr>
          <w:rFonts w:hint="eastAsia"/>
        </w:rPr>
        <w:t>大戰略，再簡要整理發展至今之</w:t>
      </w:r>
      <w:r w:rsidRPr="00C53A21">
        <w:rPr>
          <w:rFonts w:hint="eastAsia"/>
        </w:rPr>
        <w:t>習李</w:t>
      </w:r>
      <w:r>
        <w:rPr>
          <w:rFonts w:hint="eastAsia"/>
        </w:rPr>
        <w:t>區域</w:t>
      </w:r>
      <w:r>
        <w:rPr>
          <w:rFonts w:hint="eastAsia"/>
        </w:rPr>
        <w:lastRenderedPageBreak/>
        <w:t>經貿</w:t>
      </w:r>
      <w:r w:rsidRPr="00C53A21">
        <w:rPr>
          <w:rFonts w:hint="eastAsia"/>
        </w:rPr>
        <w:t>戰略思維</w:t>
      </w:r>
      <w:r>
        <w:rPr>
          <w:rFonts w:hint="eastAsia"/>
        </w:rPr>
        <w:t>與動向</w:t>
      </w:r>
      <w:r w:rsidRPr="00C53A21">
        <w:rPr>
          <w:rFonts w:hint="eastAsia"/>
        </w:rPr>
        <w:t>，</w:t>
      </w:r>
      <w:r>
        <w:rPr>
          <w:rFonts w:hint="eastAsia"/>
        </w:rPr>
        <w:t>最後</w:t>
      </w:r>
      <w:r w:rsidRPr="00C53A21">
        <w:rPr>
          <w:rFonts w:hint="eastAsia"/>
        </w:rPr>
        <w:t>針對</w:t>
      </w:r>
      <w:r>
        <w:rPr>
          <w:rFonts w:hint="eastAsia"/>
        </w:rPr>
        <w:t>上海</w:t>
      </w:r>
      <w:r w:rsidRPr="00C53A21">
        <w:rPr>
          <w:rFonts w:hint="eastAsia"/>
        </w:rPr>
        <w:t>自貿區議題</w:t>
      </w:r>
      <w:r>
        <w:rPr>
          <w:rFonts w:hint="eastAsia"/>
        </w:rPr>
        <w:t>進行</w:t>
      </w:r>
      <w:r w:rsidRPr="00C53A21">
        <w:rPr>
          <w:rFonts w:hint="eastAsia"/>
        </w:rPr>
        <w:t>探討，並就其重要手段、對我意涵進行分析。</w:t>
      </w:r>
    </w:p>
    <w:p w:rsidR="00FC7402" w:rsidRPr="008F4A0D" w:rsidRDefault="00FC7402" w:rsidP="00FC7402">
      <w:pPr>
        <w:pStyle w:val="2"/>
        <w:spacing w:beforeLines="150" w:before="540" w:after="108"/>
      </w:pPr>
      <w:bookmarkStart w:id="48" w:name="_Toc389203193"/>
      <w:bookmarkStart w:id="49" w:name="_Toc405462592"/>
      <w:r w:rsidRPr="008F4A0D">
        <w:rPr>
          <w:rFonts w:hint="eastAsia"/>
        </w:rPr>
        <w:t>第一節　海陸絲綢之路</w:t>
      </w:r>
      <w:bookmarkEnd w:id="48"/>
      <w:r w:rsidRPr="008F4A0D">
        <w:rPr>
          <w:rFonts w:hint="eastAsia"/>
        </w:rPr>
        <w:t>戰略</w:t>
      </w:r>
      <w:bookmarkEnd w:id="49"/>
    </w:p>
    <w:p w:rsidR="00FC7402" w:rsidRDefault="00DB0C74" w:rsidP="00FC7402">
      <w:pPr>
        <w:pStyle w:val="-"/>
        <w:spacing w:before="108" w:after="108"/>
        <w:ind w:firstLine="520"/>
      </w:pPr>
      <w:r w:rsidRPr="003822FB">
        <w:t>2013</w:t>
      </w:r>
      <w:r w:rsidRPr="003822FB">
        <w:rPr>
          <w:rFonts w:hint="eastAsia"/>
        </w:rPr>
        <w:t>年</w:t>
      </w:r>
      <w:r w:rsidRPr="003822FB">
        <w:t>9</w:t>
      </w:r>
      <w:r w:rsidRPr="003822FB">
        <w:rPr>
          <w:rFonts w:hint="eastAsia"/>
        </w:rPr>
        <w:t>和</w:t>
      </w:r>
      <w:r w:rsidRPr="003822FB">
        <w:t>10</w:t>
      </w:r>
      <w:r w:rsidRPr="003822FB">
        <w:rPr>
          <w:rFonts w:hint="eastAsia"/>
        </w:rPr>
        <w:t>月習近平分別出訪中亞和東南亞時，明確提出建設絲綢之路經濟帶和</w:t>
      </w:r>
      <w:r w:rsidRPr="003822FB">
        <w:t>21</w:t>
      </w:r>
      <w:r w:rsidRPr="003822FB">
        <w:rPr>
          <w:rFonts w:hint="eastAsia"/>
        </w:rPr>
        <w:t>世紀海上絲綢之路（圖</w:t>
      </w:r>
      <w:r w:rsidRPr="003822FB">
        <w:t>4-</w:t>
      </w:r>
      <w:r>
        <w:t>1</w:t>
      </w:r>
      <w:r w:rsidRPr="003822FB">
        <w:rPr>
          <w:rFonts w:hint="eastAsia"/>
        </w:rPr>
        <w:t>）。隨後十八屆三中全會改革文件《決定》「構建開放型經濟新體制」裡提到擴大內陸沿邊開放，就被列入為重點工作。後續中央經濟工作會議和</w:t>
      </w:r>
      <w:r w:rsidRPr="003822FB">
        <w:t>2014</w:t>
      </w:r>
      <w:r w:rsidRPr="003822FB">
        <w:rPr>
          <w:rFonts w:hint="eastAsia"/>
        </w:rPr>
        <w:t>年全國兩會政府工作報告皆再被提及，前者提到制定戰略規劃和加強基礎設施的建設，後者具體提出</w:t>
      </w:r>
      <w:r w:rsidR="00CC46B2">
        <w:rPr>
          <w:rFonts w:hint="eastAsia"/>
        </w:rPr>
        <w:t>孟「中」印緬</w:t>
      </w:r>
      <w:r w:rsidRPr="003822FB">
        <w:rPr>
          <w:rFonts w:hint="eastAsia"/>
        </w:rPr>
        <w:t>和</w:t>
      </w:r>
      <w:r w:rsidR="00CC46B2">
        <w:rPr>
          <w:rFonts w:hint="eastAsia"/>
        </w:rPr>
        <w:t>「中」巴</w:t>
      </w:r>
      <w:r w:rsidRPr="003822FB">
        <w:rPr>
          <w:rFonts w:hint="eastAsia"/>
        </w:rPr>
        <w:t>經濟走廊建設，顯示「一帶一路」（指絲綢之路經濟帶和海上絲綢之路）為習近平與李克強對外經貿戰略相當重要的一環，未來將提出相關的發展規劃。</w:t>
      </w:r>
    </w:p>
    <w:p w:rsidR="00FC7402" w:rsidRPr="004263FE" w:rsidRDefault="00796180" w:rsidP="00FC7402">
      <w:pPr>
        <w:widowControl/>
        <w:jc w:val="center"/>
        <w:rPr>
          <w:spacing w:val="10"/>
          <w:sz w:val="28"/>
          <w:szCs w:val="28"/>
        </w:rPr>
      </w:pPr>
      <w:r>
        <w:rPr>
          <w:noProof/>
        </w:rPr>
        <w:drawing>
          <wp:inline distT="0" distB="0" distL="0" distR="0">
            <wp:extent cx="5267960" cy="2920365"/>
            <wp:effectExtent l="0" t="0" r="8890" b="0"/>
            <wp:docPr id="12" name="圖片 12" descr="http://3.bp.blogspot.com/-wbT_J24py5k/VGkiY1hxa6I/AAAAAAAAPog/qKsCcY9sMHY/s1600/20141117+Silk+R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wbT_J24py5k/VGkiY1hxa6I/AAAAAAAAPog/qKsCcY9sMHY/s1600/20141117+Silk+Road+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960" cy="2920365"/>
                    </a:xfrm>
                    <a:prstGeom prst="rect">
                      <a:avLst/>
                    </a:prstGeom>
                    <a:noFill/>
                    <a:ln>
                      <a:noFill/>
                    </a:ln>
                  </pic:spPr>
                </pic:pic>
              </a:graphicData>
            </a:graphic>
          </wp:inline>
        </w:drawing>
      </w:r>
    </w:p>
    <w:p w:rsidR="00FC7402" w:rsidRPr="00521780" w:rsidRDefault="00DB0C74" w:rsidP="00FC7402">
      <w:pPr>
        <w:pStyle w:val="a9"/>
        <w:ind w:firstLineChars="71" w:firstLine="142"/>
        <w:rPr>
          <w:lang w:val="en-US" w:eastAsia="zh-TW"/>
        </w:rPr>
      </w:pPr>
      <w:r w:rsidRPr="00521780">
        <w:rPr>
          <w:rFonts w:hint="eastAsia"/>
          <w:lang w:val="en-US" w:eastAsia="zh-TW"/>
        </w:rPr>
        <w:t>資料來源：</w:t>
      </w:r>
      <w:r w:rsidR="0007767A">
        <w:rPr>
          <w:rFonts w:hint="eastAsia"/>
          <w:lang w:val="en-US" w:eastAsia="zh-TW"/>
        </w:rPr>
        <w:t>香港經濟日</w:t>
      </w:r>
      <w:r w:rsidRPr="00521780">
        <w:rPr>
          <w:rFonts w:hint="eastAsia"/>
          <w:lang w:val="en-US" w:eastAsia="zh-TW"/>
        </w:rPr>
        <w:t>報，「</w:t>
      </w:r>
      <w:r w:rsidR="0007767A" w:rsidRPr="0007767A">
        <w:rPr>
          <w:rFonts w:hint="eastAsia"/>
          <w:lang w:val="en-US" w:eastAsia="zh-TW"/>
        </w:rPr>
        <w:t>古絲路提升</w:t>
      </w:r>
      <w:r w:rsidR="0007767A" w:rsidRPr="0007767A">
        <w:rPr>
          <w:rFonts w:hint="eastAsia"/>
          <w:lang w:val="en-US" w:eastAsia="zh-TW"/>
        </w:rPr>
        <w:t xml:space="preserve"> </w:t>
      </w:r>
      <w:r w:rsidR="0007767A" w:rsidRPr="0007767A">
        <w:rPr>
          <w:rFonts w:hint="eastAsia"/>
          <w:lang w:val="en-US" w:eastAsia="zh-TW"/>
        </w:rPr>
        <w:t>打造</w:t>
      </w:r>
      <w:r w:rsidR="0007767A">
        <w:rPr>
          <w:rFonts w:hint="eastAsia"/>
          <w:lang w:val="en-US" w:eastAsia="zh-TW"/>
        </w:rPr>
        <w:t>『</w:t>
      </w:r>
      <w:r w:rsidR="0007767A" w:rsidRPr="0007767A">
        <w:rPr>
          <w:rFonts w:hint="eastAsia"/>
          <w:lang w:val="en-US" w:eastAsia="zh-TW"/>
        </w:rPr>
        <w:t>一帶一路</w:t>
      </w:r>
      <w:r w:rsidR="0007767A">
        <w:rPr>
          <w:rFonts w:hint="eastAsia"/>
          <w:lang w:val="en-US" w:eastAsia="zh-TW"/>
        </w:rPr>
        <w:t>』</w:t>
      </w:r>
      <w:r w:rsidRPr="00521780">
        <w:rPr>
          <w:rFonts w:hint="eastAsia"/>
          <w:lang w:val="en-US" w:eastAsia="zh-TW"/>
        </w:rPr>
        <w:t>」，</w:t>
      </w:r>
      <w:r w:rsidRPr="00521780">
        <w:rPr>
          <w:lang w:val="en-US" w:eastAsia="zh-TW"/>
        </w:rPr>
        <w:t>201</w:t>
      </w:r>
      <w:r w:rsidR="0007767A">
        <w:rPr>
          <w:rFonts w:hint="eastAsia"/>
          <w:lang w:val="en-US" w:eastAsia="zh-TW"/>
        </w:rPr>
        <w:t>4</w:t>
      </w:r>
      <w:r w:rsidRPr="00521780">
        <w:rPr>
          <w:rFonts w:hint="eastAsia"/>
          <w:lang w:val="en-US" w:eastAsia="zh-TW"/>
        </w:rPr>
        <w:t>年</w:t>
      </w:r>
      <w:r w:rsidRPr="00521780">
        <w:rPr>
          <w:lang w:val="en-US" w:eastAsia="zh-TW"/>
        </w:rPr>
        <w:t>11</w:t>
      </w:r>
      <w:r w:rsidRPr="00521780">
        <w:rPr>
          <w:rFonts w:hint="eastAsia"/>
          <w:lang w:val="en-US" w:eastAsia="zh-TW"/>
        </w:rPr>
        <w:t>月</w:t>
      </w:r>
      <w:r w:rsidRPr="00521780">
        <w:rPr>
          <w:lang w:val="en-US" w:eastAsia="zh-TW"/>
        </w:rPr>
        <w:t>1</w:t>
      </w:r>
      <w:r w:rsidR="0007767A">
        <w:rPr>
          <w:rFonts w:hint="eastAsia"/>
          <w:lang w:val="en-US" w:eastAsia="zh-TW"/>
        </w:rPr>
        <w:t>7</w:t>
      </w:r>
      <w:r w:rsidRPr="00521780">
        <w:rPr>
          <w:rFonts w:hint="eastAsia"/>
          <w:lang w:val="en-US" w:eastAsia="zh-TW"/>
        </w:rPr>
        <w:t>日。</w:t>
      </w:r>
    </w:p>
    <w:p w:rsidR="00FC7402" w:rsidRPr="003822FB" w:rsidRDefault="00DB0C74" w:rsidP="00FC7402">
      <w:pPr>
        <w:pStyle w:val="af0"/>
      </w:pPr>
      <w:bookmarkStart w:id="50" w:name="_Toc405462631"/>
      <w:r w:rsidRPr="003822FB">
        <w:rPr>
          <w:rFonts w:hint="eastAsia"/>
        </w:rPr>
        <w:t>圖</w:t>
      </w:r>
      <w:r w:rsidRPr="003822FB">
        <w:t>4-</w:t>
      </w:r>
      <w:r>
        <w:t>1</w:t>
      </w:r>
      <w:r>
        <w:rPr>
          <w:rFonts w:hint="eastAsia"/>
        </w:rPr>
        <w:t xml:space="preserve">　</w:t>
      </w:r>
      <w:r w:rsidRPr="003822FB">
        <w:rPr>
          <w:rFonts w:hint="eastAsia"/>
        </w:rPr>
        <w:t>海陸絲綢之路示意圖</w:t>
      </w:r>
      <w:bookmarkEnd w:id="50"/>
    </w:p>
    <w:p w:rsidR="00FC7402" w:rsidRDefault="00DB0C74" w:rsidP="00FC7402">
      <w:pPr>
        <w:pStyle w:val="-"/>
        <w:spacing w:before="108" w:after="108"/>
        <w:ind w:firstLine="520"/>
      </w:pPr>
      <w:r w:rsidRPr="003822FB">
        <w:rPr>
          <w:rFonts w:hint="eastAsia"/>
        </w:rPr>
        <w:t>習李新政所提出的海陸絲綢之路概念具有非常深遠的戰略意涵，且其向上與過去中國</w:t>
      </w:r>
      <w:r>
        <w:rPr>
          <w:rFonts w:hint="eastAsia"/>
        </w:rPr>
        <w:t>大陸</w:t>
      </w:r>
      <w:r w:rsidRPr="003822FB">
        <w:rPr>
          <w:rFonts w:hint="eastAsia"/>
        </w:rPr>
        <w:t>輝煌時代的歷史相連結，強化了所謂「中國夢」的內</w:t>
      </w:r>
      <w:r w:rsidRPr="003822FB">
        <w:rPr>
          <w:rFonts w:hint="eastAsia"/>
        </w:rPr>
        <w:lastRenderedPageBreak/>
        <w:t>容。歷史上的絲綢之路可謂開啟了國際貿易的先河，歐洲大陸與亞洲大陸藉由陸地與海洋的通道交換了彼此的商品、交流了人員、更促成了文化上的相互影響。但以工業革命後的近代貿易來說，在全球貿易的格局當中，首先出現的是以大西洋為軸心的貿易，在大西洋兩岸都是工業革命後的西方國家，如北歐、英國、歐洲各國以及加拿大和美國，其因工業革命而強盛，產生貿易需求，並藉由擴張海權走向強大。其後，在世界的另一側，以太平洋為軸心的貿易興起，尤其是太平洋西側的日本、亞洲四小龍崛起，因跨國貿易以及產業轉移而興起，走向現代化；其後中國大陸與東協國家也開始發揮更大影響力。兩洋的貿易形成了目前世界貿易的主要格局，歐亞之間雖然土地相連，但其彼此透過陸地與海洋的貿易相較前兩者已較為次要，因此提供了中國大陸海陸絲綢之路戰略的形成空間。中國大陸的地理位置對於歐亞合作強化發展具絕對性關鍵地位，復興絲綢之路概念對於其取得更高國際影響力、以開放帶動國內中西部發展、拉攏歐洲以削弱美國主導地位等，都具有很重要的意涵。</w:t>
      </w:r>
    </w:p>
    <w:p w:rsidR="00FC7402" w:rsidRPr="003822FB" w:rsidRDefault="00DB0C74" w:rsidP="00FC7402">
      <w:pPr>
        <w:pStyle w:val="-"/>
        <w:spacing w:before="108" w:after="108"/>
        <w:ind w:firstLine="520"/>
      </w:pPr>
      <w:r>
        <w:rPr>
          <w:rFonts w:hint="eastAsia"/>
        </w:rPr>
        <w:t>上述</w:t>
      </w:r>
      <w:r w:rsidRPr="00FD5F24">
        <w:rPr>
          <w:rFonts w:hint="eastAsia"/>
        </w:rPr>
        <w:t>絲綢之路</w:t>
      </w:r>
      <w:r>
        <w:rPr>
          <w:rFonts w:hint="eastAsia"/>
        </w:rPr>
        <w:t>戰略探討</w:t>
      </w:r>
      <w:r w:rsidRPr="00FD5F24">
        <w:rPr>
          <w:rFonts w:hint="eastAsia"/>
        </w:rPr>
        <w:t>是從</w:t>
      </w:r>
      <w:r>
        <w:rPr>
          <w:rFonts w:hint="eastAsia"/>
        </w:rPr>
        <w:t>大區域</w:t>
      </w:r>
      <w:r w:rsidRPr="00FD5F24">
        <w:rPr>
          <w:rFonts w:hint="eastAsia"/>
        </w:rPr>
        <w:t>戰略的角度</w:t>
      </w:r>
      <w:r>
        <w:rPr>
          <w:rFonts w:hint="eastAsia"/>
        </w:rPr>
        <w:t>去討論</w:t>
      </w:r>
      <w:r w:rsidRPr="00FD5F24">
        <w:rPr>
          <w:rFonts w:hint="eastAsia"/>
        </w:rPr>
        <w:t>，</w:t>
      </w:r>
      <w:r>
        <w:rPr>
          <w:rFonts w:hint="eastAsia"/>
        </w:rPr>
        <w:t>然而目前仍可辨識出部分重點的次區域的戰略－我們若以中國大陸為中心，逆時鐘方向依序為中南半島的</w:t>
      </w:r>
      <w:r w:rsidR="00B30B20">
        <w:rPr>
          <w:rFonts w:hint="eastAsia"/>
        </w:rPr>
        <w:t>「中」</w:t>
      </w:r>
      <w:r w:rsidRPr="00563524">
        <w:rPr>
          <w:rFonts w:hint="eastAsia"/>
        </w:rPr>
        <w:t>新經濟走廊</w:t>
      </w:r>
      <w:r>
        <w:rPr>
          <w:rFonts w:hint="eastAsia"/>
        </w:rPr>
        <w:t>（由</w:t>
      </w:r>
      <w:r w:rsidRPr="00563524">
        <w:rPr>
          <w:rFonts w:hint="eastAsia"/>
        </w:rPr>
        <w:t>中國</w:t>
      </w:r>
      <w:r>
        <w:rPr>
          <w:rFonts w:hint="eastAsia"/>
        </w:rPr>
        <w:t>大陸</w:t>
      </w:r>
      <w:r w:rsidRPr="00563524">
        <w:rPr>
          <w:rFonts w:hint="eastAsia"/>
        </w:rPr>
        <w:t>廣西縱穿越南、</w:t>
      </w:r>
      <w:r>
        <w:rPr>
          <w:rFonts w:hint="eastAsia"/>
        </w:rPr>
        <w:t>寮國</w:t>
      </w:r>
      <w:r w:rsidRPr="00563524">
        <w:rPr>
          <w:rFonts w:hint="eastAsia"/>
        </w:rPr>
        <w:t>、泰國、馬來西亞，直到新加坡</w:t>
      </w:r>
      <w:r>
        <w:rPr>
          <w:rFonts w:hint="eastAsia"/>
        </w:rPr>
        <w:t>）</w:t>
      </w:r>
      <w:r w:rsidRPr="00563524">
        <w:rPr>
          <w:rFonts w:hint="eastAsia"/>
        </w:rPr>
        <w:t>、</w:t>
      </w:r>
      <w:r w:rsidR="00CC46B2">
        <w:rPr>
          <w:rFonts w:hint="eastAsia"/>
        </w:rPr>
        <w:t>孟「中」印緬</w:t>
      </w:r>
      <w:r w:rsidRPr="00563524">
        <w:rPr>
          <w:rFonts w:hint="eastAsia"/>
        </w:rPr>
        <w:t>經濟走廊</w:t>
      </w:r>
      <w:r>
        <w:rPr>
          <w:rFonts w:hint="eastAsia"/>
        </w:rPr>
        <w:t>、</w:t>
      </w:r>
      <w:r w:rsidR="00CC46B2">
        <w:rPr>
          <w:rFonts w:hint="eastAsia"/>
        </w:rPr>
        <w:t>「中」巴</w:t>
      </w:r>
      <w:r w:rsidRPr="00FD5F24">
        <w:rPr>
          <w:rFonts w:hint="eastAsia"/>
        </w:rPr>
        <w:t>經濟走廊</w:t>
      </w:r>
      <w:r>
        <w:rPr>
          <w:rFonts w:hint="eastAsia"/>
        </w:rPr>
        <w:t>、</w:t>
      </w:r>
      <w:r w:rsidR="00B30B20">
        <w:rPr>
          <w:rFonts w:hint="eastAsia"/>
        </w:rPr>
        <w:t>「中」</w:t>
      </w:r>
      <w:r w:rsidRPr="00563524">
        <w:rPr>
          <w:rFonts w:hint="eastAsia"/>
        </w:rPr>
        <w:t>伊土經濟走廊</w:t>
      </w:r>
      <w:r>
        <w:rPr>
          <w:rFonts w:hint="eastAsia"/>
        </w:rPr>
        <w:t>（</w:t>
      </w:r>
      <w:r w:rsidRPr="00950F38">
        <w:rPr>
          <w:rFonts w:hint="eastAsia"/>
        </w:rPr>
        <w:t>中國</w:t>
      </w:r>
      <w:r>
        <w:rPr>
          <w:rFonts w:hint="eastAsia"/>
        </w:rPr>
        <w:t>大陸</w:t>
      </w:r>
      <w:r w:rsidRPr="00950F38">
        <w:rPr>
          <w:rFonts w:hint="eastAsia"/>
        </w:rPr>
        <w:t>新疆</w:t>
      </w:r>
      <w:r>
        <w:rPr>
          <w:rFonts w:hint="eastAsia"/>
        </w:rPr>
        <w:t>經</w:t>
      </w:r>
      <w:r w:rsidRPr="00950F38">
        <w:rPr>
          <w:rFonts w:hint="eastAsia"/>
        </w:rPr>
        <w:t>哈薩克</w:t>
      </w:r>
      <w:r>
        <w:rPr>
          <w:rFonts w:hint="eastAsia"/>
        </w:rPr>
        <w:t>、</w:t>
      </w:r>
      <w:r w:rsidRPr="00950F38">
        <w:rPr>
          <w:rFonts w:hint="eastAsia"/>
        </w:rPr>
        <w:t>伊朗</w:t>
      </w:r>
      <w:r>
        <w:rPr>
          <w:rFonts w:hint="eastAsia"/>
        </w:rPr>
        <w:t>、</w:t>
      </w:r>
      <w:r w:rsidRPr="00950F38">
        <w:rPr>
          <w:rFonts w:hint="eastAsia"/>
        </w:rPr>
        <w:t>土耳其，</w:t>
      </w:r>
      <w:r>
        <w:rPr>
          <w:rFonts w:hint="eastAsia"/>
        </w:rPr>
        <w:t>至</w:t>
      </w:r>
      <w:r w:rsidRPr="00950F38">
        <w:rPr>
          <w:rFonts w:hint="eastAsia"/>
        </w:rPr>
        <w:t>波斯灣</w:t>
      </w:r>
      <w:r>
        <w:rPr>
          <w:rFonts w:hint="eastAsia"/>
        </w:rPr>
        <w:t>及</w:t>
      </w:r>
      <w:r w:rsidRPr="00950F38">
        <w:rPr>
          <w:rFonts w:hint="eastAsia"/>
        </w:rPr>
        <w:t>地中海沿岸</w:t>
      </w:r>
      <w:r>
        <w:rPr>
          <w:rFonts w:hint="eastAsia"/>
        </w:rPr>
        <w:t>），以及新亞歐大陸橋經濟走廊等。</w:t>
      </w:r>
    </w:p>
    <w:p w:rsidR="00FC7402" w:rsidRPr="00136805" w:rsidRDefault="00DB0C74" w:rsidP="00FC7402">
      <w:pPr>
        <w:pStyle w:val="3"/>
        <w:spacing w:beforeLines="100" w:before="360" w:after="72"/>
        <w:rPr>
          <w:rFonts w:ascii="Times New Roman" w:hAnsi="Times New Roman"/>
        </w:rPr>
      </w:pPr>
      <w:r>
        <w:rPr>
          <w:rFonts w:ascii="Times New Roman" w:hAnsi="Times New Roman" w:hint="eastAsia"/>
        </w:rPr>
        <w:t>壹</w:t>
      </w:r>
      <w:r w:rsidRPr="00136805">
        <w:rPr>
          <w:rFonts w:ascii="Times New Roman" w:hAnsi="Times New Roman" w:hint="eastAsia"/>
        </w:rPr>
        <w:t>、</w:t>
      </w:r>
      <w:r>
        <w:rPr>
          <w:rFonts w:ascii="Times New Roman" w:hAnsi="Times New Roman" w:hint="eastAsia"/>
        </w:rPr>
        <w:t>一</w:t>
      </w:r>
      <w:r w:rsidRPr="00136805">
        <w:rPr>
          <w:rFonts w:ascii="Times New Roman" w:hAnsi="Times New Roman" w:hint="eastAsia"/>
        </w:rPr>
        <w:t>帶</w:t>
      </w:r>
      <w:r>
        <w:rPr>
          <w:rFonts w:ascii="Times New Roman" w:hAnsi="Times New Roman" w:hint="eastAsia"/>
        </w:rPr>
        <w:t>一路戰略之內涵</w:t>
      </w:r>
    </w:p>
    <w:p w:rsidR="00FC7402" w:rsidRPr="00A62B17" w:rsidRDefault="00DB0C74" w:rsidP="00FC7402">
      <w:pPr>
        <w:pStyle w:val="-"/>
        <w:spacing w:before="108" w:after="108"/>
        <w:ind w:firstLineChars="0" w:firstLine="0"/>
        <w:rPr>
          <w:b/>
          <w:sz w:val="32"/>
        </w:rPr>
      </w:pPr>
      <w:r w:rsidRPr="00A62B17">
        <w:rPr>
          <w:rFonts w:hint="eastAsia"/>
          <w:b/>
          <w:sz w:val="32"/>
        </w:rPr>
        <w:t>一、絲綢之路經濟帶</w:t>
      </w:r>
    </w:p>
    <w:p w:rsidR="00FC7402" w:rsidRDefault="00DB0C74" w:rsidP="00FC7402">
      <w:pPr>
        <w:pStyle w:val="-"/>
        <w:spacing w:before="108" w:after="108"/>
        <w:ind w:firstLine="520"/>
      </w:pPr>
      <w:r w:rsidRPr="003822FB">
        <w:t>2013</w:t>
      </w:r>
      <w:r w:rsidRPr="003822FB">
        <w:rPr>
          <w:rFonts w:hint="eastAsia"/>
        </w:rPr>
        <w:t>年</w:t>
      </w:r>
      <w:r w:rsidRPr="003822FB">
        <w:t>9</w:t>
      </w:r>
      <w:r w:rsidRPr="003822FB">
        <w:rPr>
          <w:rFonts w:hint="eastAsia"/>
        </w:rPr>
        <w:t>月習近平出訪中亞四國在哈薩克演說時首次提出絲綢之路經濟帶一詞，在古絲綢之路的基礎上提出一個新的經濟發展區域，東連亞太經濟圈，西繫歐洲經濟圈，以經濟帶的概念帶動沿線國家和城市發展。絲</w:t>
      </w:r>
      <w:r w:rsidRPr="003822FB">
        <w:rPr>
          <w:rFonts w:hint="eastAsia"/>
        </w:rPr>
        <w:lastRenderedPageBreak/>
        <w:t>綢之路經濟帶在空間上分為三條路線，即以歐亞大陸橋為主的北線、以石油天然氣管道為主的中線</w:t>
      </w:r>
      <w:r>
        <w:rPr>
          <w:rFonts w:hint="eastAsia"/>
        </w:rPr>
        <w:t>（目前又被稱為「新亞歐大陸橋」）</w:t>
      </w:r>
      <w:r w:rsidRPr="003822FB">
        <w:rPr>
          <w:rFonts w:hint="eastAsia"/>
        </w:rPr>
        <w:t>和以跨國公路為主的南線（圖</w:t>
      </w:r>
      <w:r w:rsidRPr="003822FB">
        <w:t>4-</w:t>
      </w:r>
      <w:r>
        <w:t>2</w:t>
      </w:r>
      <w:r w:rsidRPr="003822FB">
        <w:rPr>
          <w:rFonts w:hint="eastAsia"/>
        </w:rPr>
        <w:t>）。中國大陸區域範圍包括西北五省、重慶、四川、內蒙古和新疆，甚至擴展到其他省區。國際區域範圍前期先以中亞國家為首要，後續再延伸到歐洲國家。</w:t>
      </w:r>
    </w:p>
    <w:p w:rsidR="00FC7402" w:rsidRPr="004263FE" w:rsidRDefault="00796180" w:rsidP="00FC7402">
      <w:pPr>
        <w:widowControl/>
        <w:jc w:val="both"/>
        <w:rPr>
          <w:spacing w:val="10"/>
          <w:sz w:val="28"/>
          <w:szCs w:val="28"/>
        </w:rPr>
      </w:pPr>
      <w:r>
        <w:rPr>
          <w:noProof/>
        </w:rPr>
        <w:drawing>
          <wp:inline distT="0" distB="0" distL="0" distR="0">
            <wp:extent cx="5240655" cy="2893060"/>
            <wp:effectExtent l="0" t="0" r="0" b="2540"/>
            <wp:docPr id="13" name="圖片 13" descr="http://blogfile.ifeng.com/uploadfiles/blog_attachment/1401/38/7511038_138893084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file.ifeng.com/uploadfiles/blog_attachment/1401/38/7511038_13889308482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0655" cy="2893060"/>
                    </a:xfrm>
                    <a:prstGeom prst="rect">
                      <a:avLst/>
                    </a:prstGeom>
                    <a:noFill/>
                    <a:ln>
                      <a:noFill/>
                    </a:ln>
                  </pic:spPr>
                </pic:pic>
              </a:graphicData>
            </a:graphic>
          </wp:inline>
        </w:drawing>
      </w:r>
    </w:p>
    <w:p w:rsidR="00FC7402" w:rsidRPr="00603F50" w:rsidRDefault="00DB0C74" w:rsidP="00FC7402">
      <w:pPr>
        <w:pStyle w:val="a9"/>
        <w:rPr>
          <w:lang w:val="en-US" w:eastAsia="zh-TW"/>
        </w:rPr>
      </w:pPr>
      <w:r w:rsidRPr="00603F50">
        <w:rPr>
          <w:rFonts w:hint="eastAsia"/>
          <w:lang w:val="en-US" w:eastAsia="zh-TW"/>
        </w:rPr>
        <w:t>資料來源：</w:t>
      </w:r>
      <w:r w:rsidR="00C74F59">
        <w:rPr>
          <w:rFonts w:hint="eastAsia"/>
          <w:lang w:val="en-US" w:eastAsia="zh-TW"/>
        </w:rPr>
        <w:t>MBA</w:t>
      </w:r>
      <w:r w:rsidR="00C74F59">
        <w:rPr>
          <w:rFonts w:hint="eastAsia"/>
          <w:lang w:val="en-US" w:eastAsia="zh-TW"/>
        </w:rPr>
        <w:t>智庫百科</w:t>
      </w:r>
      <w:r w:rsidRPr="00603F50">
        <w:rPr>
          <w:rFonts w:hint="eastAsia"/>
          <w:lang w:val="en-US" w:eastAsia="zh-TW"/>
        </w:rPr>
        <w:t>，</w:t>
      </w:r>
      <w:r w:rsidR="00C74F59">
        <w:rPr>
          <w:rFonts w:hint="eastAsia"/>
          <w:lang w:val="en-US" w:eastAsia="zh-TW"/>
        </w:rPr>
        <w:t>「</w:t>
      </w:r>
      <w:r w:rsidR="00C74F59" w:rsidRPr="00C74F59">
        <w:rPr>
          <w:rFonts w:hint="eastAsia"/>
          <w:lang w:val="en-US" w:eastAsia="zh-TW"/>
        </w:rPr>
        <w:t>新亞歐大陸橋</w:t>
      </w:r>
      <w:r w:rsidR="00C74F59">
        <w:rPr>
          <w:rFonts w:hint="eastAsia"/>
          <w:lang w:val="en-US" w:eastAsia="zh-TW"/>
        </w:rPr>
        <w:t>」</w:t>
      </w:r>
      <w:r w:rsidRPr="00603F50">
        <w:rPr>
          <w:rFonts w:hint="eastAsia"/>
          <w:lang w:val="en-US" w:eastAsia="zh-TW"/>
        </w:rPr>
        <w:t>。</w:t>
      </w:r>
    </w:p>
    <w:p w:rsidR="00FC7402" w:rsidRPr="003822FB" w:rsidRDefault="00DB0C74" w:rsidP="00FC7402">
      <w:pPr>
        <w:pStyle w:val="af0"/>
      </w:pPr>
      <w:bookmarkStart w:id="51" w:name="_Toc405462632"/>
      <w:r w:rsidRPr="003822FB">
        <w:rPr>
          <w:rFonts w:hint="eastAsia"/>
        </w:rPr>
        <w:t>圖</w:t>
      </w:r>
      <w:r w:rsidRPr="003822FB">
        <w:t>4-</w:t>
      </w:r>
      <w:r>
        <w:t>2</w:t>
      </w:r>
      <w:r>
        <w:rPr>
          <w:rFonts w:hint="eastAsia"/>
        </w:rPr>
        <w:t xml:space="preserve">　絲綢之路</w:t>
      </w:r>
      <w:r w:rsidRPr="003822FB">
        <w:rPr>
          <w:rFonts w:hint="eastAsia"/>
        </w:rPr>
        <w:t>經濟帶示意圖</w:t>
      </w:r>
      <w:bookmarkEnd w:id="51"/>
    </w:p>
    <w:p w:rsidR="00FC7402" w:rsidRDefault="00DB0C74" w:rsidP="00FC7402">
      <w:pPr>
        <w:pStyle w:val="-"/>
        <w:spacing w:before="108" w:after="108"/>
        <w:ind w:firstLine="520"/>
      </w:pPr>
      <w:r>
        <w:rPr>
          <w:rFonts w:hint="eastAsia"/>
        </w:rPr>
        <w:t>絲綢之路經濟帶範圍涵蓋整個歐亞大陸，區域內經濟發展水準呈現「兩邊高，中間低」的現象，卻有豐富的能源、礦產、旅遊、文化和農業等資源，市場規模和潛力相當龐大。藉由絲綢之路經濟帶強化歐亞大陸的區域經濟合作，符合歐亞各國謀求經濟發展，以及擴大經濟合作的利益需求。中國大陸過去十幾年來，在西部大開發和中部崛起等重大戰略，明顯加快了中西部地區的建設，過去中西部地區高度仰賴東部沿海發達地區帶動發展，現在藉由絲綢之路經濟帶的戰略構想提出後，擴大向西開放，讓中西部地區與中亞、南亞、西亞的貿易往來和經濟合作得以加深。</w:t>
      </w:r>
    </w:p>
    <w:p w:rsidR="00FC7402" w:rsidRDefault="00DB0C74" w:rsidP="00FC7402">
      <w:pPr>
        <w:pStyle w:val="-"/>
        <w:spacing w:before="108" w:after="108"/>
        <w:ind w:firstLine="520"/>
      </w:pPr>
      <w:r>
        <w:rPr>
          <w:rFonts w:hint="eastAsia"/>
        </w:rPr>
        <w:t>絲綢之陸經濟帶有個重要的基礎平臺為上海合作組織（簡稱上合組織），</w:t>
      </w:r>
      <w:r>
        <w:t>2001</w:t>
      </w:r>
      <w:r>
        <w:rPr>
          <w:rFonts w:hint="eastAsia"/>
        </w:rPr>
        <w:t>年由中國大陸、俄羅斯（</w:t>
      </w:r>
      <w:r>
        <w:t>Russia</w:t>
      </w:r>
      <w:r>
        <w:rPr>
          <w:rFonts w:hint="eastAsia"/>
        </w:rPr>
        <w:t>）、哈薩克（</w:t>
      </w:r>
      <w:r>
        <w:t>Kazakhstan</w:t>
      </w:r>
      <w:r>
        <w:rPr>
          <w:rFonts w:hint="eastAsia"/>
        </w:rPr>
        <w:t>）、吉爾</w:t>
      </w:r>
      <w:r>
        <w:rPr>
          <w:rFonts w:hint="eastAsia"/>
        </w:rPr>
        <w:lastRenderedPageBreak/>
        <w:t>吉斯（</w:t>
      </w:r>
      <w:r>
        <w:t>Kyrghyz</w:t>
      </w:r>
      <w:r>
        <w:rPr>
          <w:rFonts w:hint="eastAsia"/>
        </w:rPr>
        <w:t>）、塔吉克（</w:t>
      </w:r>
      <w:r>
        <w:t>Tajikistan</w:t>
      </w:r>
      <w:r>
        <w:rPr>
          <w:rFonts w:hint="eastAsia"/>
        </w:rPr>
        <w:t>）和烏茲別克（</w:t>
      </w:r>
      <w:r>
        <w:t>Uzbekistan</w:t>
      </w:r>
      <w:r>
        <w:rPr>
          <w:rFonts w:hint="eastAsia"/>
        </w:rPr>
        <w:t>）</w:t>
      </w:r>
      <w:r>
        <w:t>6</w:t>
      </w:r>
      <w:r>
        <w:rPr>
          <w:rFonts w:hint="eastAsia"/>
        </w:rPr>
        <w:t>個國家組成的一個國際組織，另外有</w:t>
      </w:r>
      <w:r>
        <w:t>5</w:t>
      </w:r>
      <w:r>
        <w:rPr>
          <w:rFonts w:hint="eastAsia"/>
        </w:rPr>
        <w:t>個觀察員國：蒙古國、伊朗、巴基斯坦、印度和阿富汗。這是中國大陸首次在其境內成立國際性組織，並以城市命名，以「上海精神」解決各成員國間的邊境問題。從政治調解到經濟發展，從安全合作到民間交流等議題都涵蓋，涉及領域相當廣。</w:t>
      </w:r>
    </w:p>
    <w:p w:rsidR="00FC7402" w:rsidRPr="00FD5F24" w:rsidRDefault="00DB0C74" w:rsidP="00FC7402">
      <w:pPr>
        <w:pStyle w:val="-"/>
        <w:spacing w:before="108" w:after="108"/>
        <w:ind w:firstLine="520"/>
      </w:pPr>
      <w:r>
        <w:rPr>
          <w:rFonts w:hint="eastAsia"/>
        </w:rPr>
        <w:t>中亞各國介於中國大陸與歐盟兩大經濟體中間（圖</w:t>
      </w:r>
      <w:r>
        <w:t>4-3</w:t>
      </w:r>
      <w:r>
        <w:rPr>
          <w:rFonts w:hint="eastAsia"/>
        </w:rPr>
        <w:t>），地理位置相當重要，但是由於區域經濟體小、發展水準較低，長期以來仰賴中國大陸帶動其發展。藉由上合組織做為平臺，讓參與的中亞四國（土庫曼除外）成為絲綢之陸經濟帶初期的重要合作夥伴，與中國大陸有個溝通交流平臺，加快區域合作與建設。</w:t>
      </w:r>
    </w:p>
    <w:p w:rsidR="00FC7402" w:rsidRPr="004263FE" w:rsidRDefault="00796180" w:rsidP="00FC7402">
      <w:pPr>
        <w:widowControl/>
        <w:jc w:val="center"/>
        <w:rPr>
          <w:spacing w:val="10"/>
          <w:sz w:val="28"/>
          <w:szCs w:val="28"/>
        </w:rPr>
      </w:pPr>
      <w:r>
        <w:rPr>
          <w:noProof/>
          <w:spacing w:val="10"/>
          <w:sz w:val="28"/>
          <w:szCs w:val="28"/>
        </w:rPr>
        <w:drawing>
          <wp:inline distT="0" distB="0" distL="0" distR="0">
            <wp:extent cx="4763135" cy="3439160"/>
            <wp:effectExtent l="0" t="0" r="0" b="8890"/>
            <wp:docPr id="14" name="圖片 7" descr="日本媒體說實話：整個中亞都捏在東方大國手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日本媒體說實話：整個中亞都捏在東方大國手裡"/>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3439160"/>
                    </a:xfrm>
                    <a:prstGeom prst="rect">
                      <a:avLst/>
                    </a:prstGeom>
                    <a:noFill/>
                    <a:ln>
                      <a:noFill/>
                    </a:ln>
                  </pic:spPr>
                </pic:pic>
              </a:graphicData>
            </a:graphic>
          </wp:inline>
        </w:drawing>
      </w:r>
    </w:p>
    <w:p w:rsidR="00FC7402" w:rsidRPr="00603F50" w:rsidRDefault="00DB0C74" w:rsidP="00FC7402">
      <w:pPr>
        <w:pStyle w:val="a9"/>
        <w:ind w:firstLineChars="213" w:firstLine="426"/>
        <w:rPr>
          <w:lang w:val="en-US" w:eastAsia="zh-TW"/>
        </w:rPr>
      </w:pPr>
      <w:r w:rsidRPr="00603F50">
        <w:rPr>
          <w:rFonts w:hint="eastAsia"/>
          <w:lang w:val="en-US" w:eastAsia="zh-TW"/>
        </w:rPr>
        <w:t>資料來源：西陸網。</w:t>
      </w:r>
    </w:p>
    <w:p w:rsidR="00FC7402" w:rsidRPr="00FD5F24" w:rsidRDefault="00DB0C74" w:rsidP="00FC7402">
      <w:pPr>
        <w:pStyle w:val="af0"/>
      </w:pPr>
      <w:bookmarkStart w:id="52" w:name="_Toc405462633"/>
      <w:r w:rsidRPr="00FD5F24">
        <w:rPr>
          <w:rFonts w:hint="eastAsia"/>
        </w:rPr>
        <w:t>圖</w:t>
      </w:r>
      <w:r w:rsidRPr="00FD5F24">
        <w:t>4-</w:t>
      </w:r>
      <w:r>
        <w:t>3</w:t>
      </w:r>
      <w:r>
        <w:rPr>
          <w:rFonts w:hint="eastAsia"/>
        </w:rPr>
        <w:t xml:space="preserve">　</w:t>
      </w:r>
      <w:r w:rsidRPr="00FD5F24">
        <w:rPr>
          <w:rFonts w:hint="eastAsia"/>
        </w:rPr>
        <w:t>中亞五國位置圖</w:t>
      </w:r>
      <w:bookmarkEnd w:id="52"/>
    </w:p>
    <w:p w:rsidR="00FC7402" w:rsidRDefault="00DB0C74" w:rsidP="00FC7402">
      <w:pPr>
        <w:pStyle w:val="-"/>
        <w:spacing w:before="108" w:after="108"/>
        <w:ind w:firstLine="520"/>
      </w:pPr>
      <w:r>
        <w:rPr>
          <w:rFonts w:hint="eastAsia"/>
        </w:rPr>
        <w:t>目前中國大陸與中亞國家發展現況，在能源方面，</w:t>
      </w:r>
      <w:r>
        <w:t>2006</w:t>
      </w:r>
      <w:r>
        <w:rPr>
          <w:rFonts w:hint="eastAsia"/>
        </w:rPr>
        <w:t>年開通</w:t>
      </w:r>
      <w:r w:rsidR="003F07BD">
        <w:rPr>
          <w:rFonts w:hint="eastAsia"/>
        </w:rPr>
        <w:t>「</w:t>
      </w:r>
      <w:r>
        <w:rPr>
          <w:rFonts w:hint="eastAsia"/>
        </w:rPr>
        <w:t>中</w:t>
      </w:r>
      <w:r w:rsidR="003F07BD">
        <w:rPr>
          <w:rFonts w:hint="eastAsia"/>
        </w:rPr>
        <w:t>」</w:t>
      </w:r>
      <w:r>
        <w:rPr>
          <w:rFonts w:hint="eastAsia"/>
        </w:rPr>
        <w:t>哈原油管道，</w:t>
      </w:r>
      <w:r>
        <w:t>2009</w:t>
      </w:r>
      <w:r>
        <w:rPr>
          <w:rFonts w:hint="eastAsia"/>
        </w:rPr>
        <w:t>年啟動中國</w:t>
      </w:r>
      <w:r w:rsidR="003F07BD">
        <w:rPr>
          <w:rFonts w:hint="eastAsia"/>
        </w:rPr>
        <w:t>大陸</w:t>
      </w:r>
      <w:r>
        <w:rPr>
          <w:rFonts w:hint="eastAsia"/>
        </w:rPr>
        <w:t>—中亞天然氣管道等大型能源合作項目，</w:t>
      </w:r>
      <w:r>
        <w:rPr>
          <w:rFonts w:hint="eastAsia"/>
        </w:rPr>
        <w:lastRenderedPageBreak/>
        <w:t>中亞國家為中國大陸重要的能源輸入地區，也是區域經濟發展的基礎。在經貿方面，中國大陸為中亞國家主要的貿易夥伴，為哈薩克、烏茲別克、吉爾吉斯和塔吉克的第二大貿易夥伴。除此之外，中國大陸也是中亞國家重要的投資來源國，為烏茲別克、吉爾吉斯第一大投資來源國，塔吉克第二大投資來源國，且直接投資速度有持續成長趨勢。根據本研究訪談結果，專家認為</w:t>
      </w:r>
      <w:r w:rsidRPr="007A23CD">
        <w:rPr>
          <w:rFonts w:hint="eastAsia"/>
        </w:rPr>
        <w:t>「絲綢之路經濟帶」</w:t>
      </w:r>
      <w:r>
        <w:rPr>
          <w:rFonts w:hint="eastAsia"/>
        </w:rPr>
        <w:t>會</w:t>
      </w:r>
      <w:r w:rsidRPr="007A23CD">
        <w:rPr>
          <w:rFonts w:hint="eastAsia"/>
        </w:rPr>
        <w:t>將傳統行業向中亞等地區沿途轉移，</w:t>
      </w:r>
      <w:r>
        <w:rPr>
          <w:rFonts w:hint="eastAsia"/>
        </w:rPr>
        <w:t>除</w:t>
      </w:r>
      <w:r w:rsidRPr="007A23CD">
        <w:rPr>
          <w:rFonts w:hint="eastAsia"/>
        </w:rPr>
        <w:t>有助於各國經濟進一步發展</w:t>
      </w:r>
      <w:r>
        <w:rPr>
          <w:rFonts w:hint="eastAsia"/>
        </w:rPr>
        <w:t>之外</w:t>
      </w:r>
      <w:r w:rsidRPr="007A23CD">
        <w:rPr>
          <w:rFonts w:hint="eastAsia"/>
        </w:rPr>
        <w:t>，</w:t>
      </w:r>
      <w:r>
        <w:rPr>
          <w:rFonts w:hint="eastAsia"/>
        </w:rPr>
        <w:t>亦</w:t>
      </w:r>
      <w:r w:rsidRPr="007A23CD">
        <w:rPr>
          <w:rFonts w:hint="eastAsia"/>
        </w:rPr>
        <w:t>對於中國大陸高新技術產業提升</w:t>
      </w:r>
      <w:r>
        <w:rPr>
          <w:rFonts w:hint="eastAsia"/>
        </w:rPr>
        <w:t>有</w:t>
      </w:r>
      <w:r w:rsidRPr="007A23CD">
        <w:rPr>
          <w:rFonts w:hint="eastAsia"/>
        </w:rPr>
        <w:t>所幫助，有利構建區域間</w:t>
      </w:r>
      <w:r>
        <w:rPr>
          <w:rFonts w:hint="eastAsia"/>
        </w:rPr>
        <w:t>分工合理、優勢互補的產業分工體系，</w:t>
      </w:r>
      <w:r w:rsidRPr="007A23CD">
        <w:rPr>
          <w:rFonts w:hint="eastAsia"/>
        </w:rPr>
        <w:t>例</w:t>
      </w:r>
      <w:r>
        <w:rPr>
          <w:rFonts w:hint="eastAsia"/>
        </w:rPr>
        <w:t>如</w:t>
      </w:r>
      <w:r w:rsidR="003F07BD">
        <w:rPr>
          <w:rFonts w:hint="eastAsia"/>
        </w:rPr>
        <w:t>，</w:t>
      </w:r>
      <w:r w:rsidRPr="007A23CD">
        <w:rPr>
          <w:rFonts w:hint="eastAsia"/>
        </w:rPr>
        <w:t>亞國家對於太陽能、風能和水資源等清潔能源有較大需求，而中國大陸西部發電多、能源產業有所發展，可與之合作，目前中國大陸機電產品對中亞出口已有不少，未來機械製造業發展也有潛力。</w:t>
      </w:r>
    </w:p>
    <w:p w:rsidR="00FC7402" w:rsidRDefault="00DB0C74" w:rsidP="00FC7402">
      <w:pPr>
        <w:pStyle w:val="-"/>
        <w:spacing w:before="108" w:after="108"/>
        <w:ind w:firstLine="520"/>
      </w:pPr>
      <w:r>
        <w:rPr>
          <w:rFonts w:hint="eastAsia"/>
        </w:rPr>
        <w:t>習近平對絲綢之路經濟帶提出「五通」發展目標，第一，加強政策溝通，各國就經濟發展戰略進行交流，協商制定區域合作規劃和措施。第二，加強道路聯通，暢通從太平洋到波羅的海的運輸大通道，逐漸形成連接東亞、西亞、南亞的交通運輸網絡。第三，加強貿易暢通，絲綢之路經濟帶總人口</w:t>
      </w:r>
      <w:r>
        <w:t>30</w:t>
      </w:r>
      <w:r>
        <w:rPr>
          <w:rFonts w:hint="eastAsia"/>
        </w:rPr>
        <w:t>億，具有龐大的市場潛力，應對推動貿易和投資便利化問題進行探討並作出適當安排。第四，加強貨幣流通，推動本幣兌換和結算，增強抵禦金融風險能力，提高區域經濟國際競爭力。第五，加強民心相通，各國人民友好往來，增進相互瞭解和維持傳統友誼。與此相對應，有五項具體措施包含：開闢交通和物流大通道；實現貿易和投資便利化，打破地區經濟發展瓶頸；推進金融領域合作；成立能源俱樂部；建立糧食合作機制</w:t>
      </w:r>
      <w:r w:rsidR="00196463">
        <w:rPr>
          <w:rStyle w:val="aff0"/>
        </w:rPr>
        <w:footnoteReference w:id="19"/>
      </w:r>
      <w:r>
        <w:rPr>
          <w:rFonts w:hint="eastAsia"/>
        </w:rPr>
        <w:t>。</w:t>
      </w:r>
    </w:p>
    <w:p w:rsidR="00FC7402" w:rsidRDefault="00DB0C74" w:rsidP="00FC7402">
      <w:pPr>
        <w:pStyle w:val="-"/>
        <w:spacing w:before="108" w:after="108"/>
        <w:ind w:firstLine="520"/>
      </w:pPr>
      <w:r>
        <w:rPr>
          <w:rFonts w:hint="eastAsia"/>
        </w:rPr>
        <w:t>此外，強調絲綢之路經濟帶在區域合作模式上必須創新，與傳統的區域合作模式的區別在於，傳統的區域合作透過互惠的貿易和投資安排，確</w:t>
      </w:r>
      <w:r>
        <w:rPr>
          <w:rFonts w:hint="eastAsia"/>
        </w:rPr>
        <w:lastRenderedPageBreak/>
        <w:t>立統一的關稅政策，並有實質的深入合作。絲綢之路經濟帶無此類目標，主要僅在貿易、交通、投資領域的合作，並不設定關稅同盟，非緊密的區域一體化合作。重要在於，引進產業、聚集人口，促進西部地區更快發展，並為中西部地區的機電產品、特色農產品、特色食品等向西出口，分散向東出口的單一貿易路線。</w:t>
      </w:r>
    </w:p>
    <w:p w:rsidR="00FC7402" w:rsidRDefault="00DB0C74" w:rsidP="00FC7402">
      <w:pPr>
        <w:pStyle w:val="-"/>
        <w:spacing w:before="108" w:after="108"/>
        <w:ind w:firstLine="520"/>
      </w:pPr>
      <w:r>
        <w:rPr>
          <w:rFonts w:hint="eastAsia"/>
        </w:rPr>
        <w:t>以中國大陸的角度，推動絲綢之路經濟帶的戰略思維在於：首先，透過絲綢之路經濟帶加強與周邊國家經貿往來，進一步推進國際區域合作；其次，讓經濟實力較薄弱的內陸地區成為開放前沿，促進國內區域均衡發展；第三，透過沿線基礎設施的建設，消化過剩產能；第四，對內輸入原油、天然氣等能源，對外擴展新興外銷市場。最後，藉由絲綢之路經濟帶做為西部大開發升級版，倒逼東部地區再改革再開放。</w:t>
      </w:r>
    </w:p>
    <w:p w:rsidR="00FC7402" w:rsidRDefault="00DB0C74" w:rsidP="00FC7402">
      <w:pPr>
        <w:pStyle w:val="-"/>
        <w:spacing w:before="108" w:after="108"/>
        <w:ind w:firstLine="520"/>
      </w:pPr>
      <w:r>
        <w:rPr>
          <w:rFonts w:hint="eastAsia"/>
        </w:rPr>
        <w:t>絲綢之路經濟帶做為習李對外區域經貿戰略的重點工作，目前正如火如荼的進行規劃研擬，各地方政府也熱烈響，像是新疆提出《絲綢之路經濟帶框架下促進新疆對外開放與經濟發展研究》，明確提出絲綢之路經濟帶上新疆三條通道的</w:t>
      </w:r>
      <w:r w:rsidR="00E41F3A">
        <w:rPr>
          <w:rFonts w:hint="eastAsia"/>
        </w:rPr>
        <w:t>布局</w:t>
      </w:r>
      <w:r>
        <w:rPr>
          <w:rFonts w:hint="eastAsia"/>
        </w:rPr>
        <w:t>構想，以此帶動沿線中心城市、重點城鎮及所有</w:t>
      </w:r>
      <w:r>
        <w:t>17</w:t>
      </w:r>
      <w:r>
        <w:rPr>
          <w:rFonts w:hint="eastAsia"/>
        </w:rPr>
        <w:t>個陸路口岸的開放與建設。目前「一帶一路」也以絲綢之路經濟帶建設較為明確，逐漸從概念進入實質性工作階段。</w:t>
      </w:r>
    </w:p>
    <w:p w:rsidR="00FC7402" w:rsidRPr="00A62B17" w:rsidRDefault="00DB0C74" w:rsidP="00FC7402">
      <w:pPr>
        <w:pStyle w:val="-"/>
        <w:spacing w:before="108" w:after="108"/>
        <w:ind w:firstLineChars="0" w:firstLine="0"/>
        <w:rPr>
          <w:b/>
          <w:sz w:val="32"/>
        </w:rPr>
      </w:pPr>
      <w:r>
        <w:rPr>
          <w:rFonts w:hint="eastAsia"/>
          <w:b/>
          <w:sz w:val="32"/>
        </w:rPr>
        <w:t>二</w:t>
      </w:r>
      <w:r w:rsidRPr="00A62B17">
        <w:rPr>
          <w:rFonts w:hint="eastAsia"/>
          <w:b/>
          <w:sz w:val="32"/>
        </w:rPr>
        <w:t>、</w:t>
      </w:r>
      <w:r>
        <w:rPr>
          <w:rFonts w:hint="eastAsia"/>
          <w:b/>
          <w:sz w:val="32"/>
        </w:rPr>
        <w:t>海上</w:t>
      </w:r>
      <w:r w:rsidRPr="00A62B17">
        <w:rPr>
          <w:rFonts w:hint="eastAsia"/>
          <w:b/>
          <w:sz w:val="32"/>
        </w:rPr>
        <w:t>絲綢之路</w:t>
      </w:r>
    </w:p>
    <w:p w:rsidR="00FC7402" w:rsidRDefault="00DB0C74" w:rsidP="00FC7402">
      <w:pPr>
        <w:pStyle w:val="-"/>
        <w:spacing w:before="108" w:after="108"/>
        <w:ind w:firstLine="520"/>
      </w:pPr>
      <w:r>
        <w:rPr>
          <w:rFonts w:hint="eastAsia"/>
        </w:rPr>
        <w:t>絲綢之路除了陸上交通外，還有一條主要路徑－海路，自中國大陸東南沿海港口，往南穿過南海，進入印度洋、波斯灣地區，遠至東非、歐洲。這一東西方交往的海上交通要道，被稱為海上絲綢之路。</w:t>
      </w:r>
      <w:r>
        <w:t>2013</w:t>
      </w:r>
      <w:r>
        <w:rPr>
          <w:rFonts w:hint="eastAsia"/>
        </w:rPr>
        <w:t>年</w:t>
      </w:r>
      <w:r>
        <w:t>10</w:t>
      </w:r>
      <w:r>
        <w:rPr>
          <w:rFonts w:hint="eastAsia"/>
        </w:rPr>
        <w:t>月習近平出訪東南亞在印尼發表演說時，在古代海上絲綢之路的基礎上，提出</w:t>
      </w:r>
      <w:r>
        <w:t>21</w:t>
      </w:r>
      <w:r>
        <w:rPr>
          <w:rFonts w:hint="eastAsia"/>
        </w:rPr>
        <w:t>世紀海上絲綢之路建設。</w:t>
      </w:r>
      <w:r>
        <w:t>2014</w:t>
      </w:r>
      <w:r>
        <w:rPr>
          <w:rFonts w:hint="eastAsia"/>
        </w:rPr>
        <w:t>年</w:t>
      </w:r>
      <w:r>
        <w:t>2</w:t>
      </w:r>
      <w:r>
        <w:rPr>
          <w:rFonts w:hint="eastAsia"/>
        </w:rPr>
        <w:t>月再邀印度和斯裡蘭卡共建海上絲綢之路，讓範圍從東南亞擴展到南亞。在中國大陸境內預計從江蘇連雲港、福建、廣東，以及雲南瑞麗、廣西北海港等沿邊開放口岸一路對外串聯，往南向西向形成一個海上大通道。</w:t>
      </w:r>
    </w:p>
    <w:p w:rsidR="00FC7402" w:rsidRDefault="00DB0C74" w:rsidP="00FC7402">
      <w:pPr>
        <w:pStyle w:val="-"/>
        <w:spacing w:before="108" w:after="108"/>
        <w:ind w:firstLine="520"/>
      </w:pPr>
      <w:r>
        <w:rPr>
          <w:rFonts w:hint="eastAsia"/>
        </w:rPr>
        <w:lastRenderedPageBreak/>
        <w:t>海上絲綢之路為深化中國大陸與東協關係的方式之一，被視為中國</w:t>
      </w:r>
      <w:r>
        <w:t>-</w:t>
      </w:r>
      <w:r>
        <w:rPr>
          <w:rFonts w:hint="eastAsia"/>
        </w:rPr>
        <w:t>東協自貿區升級版的重要戰略。從穩定區域關係出發，到區域共同發展。未來十年將繼續深化與東協的關係，進一步促進中國大陸與周邊國家合作，共同打造穩定和長久的區域經濟合作關係。</w:t>
      </w:r>
    </w:p>
    <w:p w:rsidR="00FC7402" w:rsidRDefault="00DB0C74" w:rsidP="00FC7402">
      <w:pPr>
        <w:pStyle w:val="-"/>
        <w:spacing w:before="108" w:after="108"/>
        <w:ind w:firstLine="520"/>
      </w:pPr>
      <w:r>
        <w:rPr>
          <w:rFonts w:hint="eastAsia"/>
        </w:rPr>
        <w:t>海上絲綢之路涉及整個海洋路線的規劃建設，預計內容包含海洋資源開發、產業</w:t>
      </w:r>
      <w:r w:rsidR="00E41F3A">
        <w:rPr>
          <w:rFonts w:hint="eastAsia"/>
        </w:rPr>
        <w:t>布局</w:t>
      </w:r>
      <w:r>
        <w:rPr>
          <w:rFonts w:hint="eastAsia"/>
        </w:rPr>
        <w:t>、口岸建設等。除了海上航道和港口建設外，海上絲綢之路還包括陸路交通基礎建設、通關便利化等，以海陸統籌的思維對海上陸上各項資源進行開發利用。這將加快沿邊開放步伐，對於沿邊重點口岸、邊境城市、經濟合作區的人員往來、加工物流、旅遊等方面實施特殊政策。</w:t>
      </w:r>
    </w:p>
    <w:p w:rsidR="00FC7402" w:rsidRDefault="00DB0C74" w:rsidP="00FC7402">
      <w:pPr>
        <w:pStyle w:val="-"/>
        <w:spacing w:before="108" w:after="108"/>
        <w:ind w:firstLine="520"/>
      </w:pPr>
      <w:r>
        <w:rPr>
          <w:rFonts w:hint="eastAsia"/>
        </w:rPr>
        <w:t>在港口建設方面，將加快海上通道互聯互通建設，積極參與沿線國家港口的基礎建設，針對巴基斯坦、孟加拉、斯</w:t>
      </w:r>
      <w:r w:rsidR="001E770E">
        <w:rPr>
          <w:rFonts w:hint="eastAsia"/>
        </w:rPr>
        <w:t>里</w:t>
      </w:r>
      <w:r>
        <w:rPr>
          <w:rFonts w:hint="eastAsia"/>
        </w:rPr>
        <w:t>蘭卡等印度洋重要港口更需做好建設和營運管理。在投資貿易方面，落實與沿線國家多雙邊貿易投資協議，並推動海關、質檢、電子商務等部門共同簡化程序，提高貿易投資便利化。此外，還要與沿線國家共同探討自貿區建設。</w:t>
      </w:r>
    </w:p>
    <w:p w:rsidR="00FC7402" w:rsidRDefault="00DB0C74" w:rsidP="00FC7402">
      <w:pPr>
        <w:pStyle w:val="-"/>
        <w:spacing w:before="108" w:after="108"/>
        <w:ind w:firstLine="520"/>
      </w:pPr>
      <w:r>
        <w:rPr>
          <w:rFonts w:hint="eastAsia"/>
        </w:rPr>
        <w:t>相對於絲綢之路經濟帶，海上絲綢之路尚無較具體明確的工作項目，主要是因為絲綢之路經濟帶初期對中亞的工作有上合組織為基礎，而海上絲綢之路由於中國大陸與東南亞、南亞周邊國家間的矛盾較為嚴重，像是南海爭議等問題。因此習近平對於海上絲綢之路概念提出後，首重在穩定與沿線國家的關係，先取得互信再談合作和開放。未來彼此間的合作還有待建立海洋爭端機制，才有進一步破題的可能。近來中國大陸與菲律賓以及越南之間在南海主權方面發生不小的衝突，顯示這方面的推動具有非常高的複雜性與困難度。</w:t>
      </w:r>
    </w:p>
    <w:p w:rsidR="00FC7402" w:rsidRPr="00C87376" w:rsidRDefault="00DB0C74" w:rsidP="00FC7402">
      <w:pPr>
        <w:pStyle w:val="-"/>
        <w:spacing w:before="108" w:after="108"/>
        <w:ind w:firstLine="520"/>
      </w:pPr>
      <w:r w:rsidRPr="00C87376">
        <w:rPr>
          <w:rFonts w:hint="eastAsia"/>
        </w:rPr>
        <w:t>「一帶一路」的建設需要龐大的資金投入，沿線行經範圍都是發展中國家，對資金需求更為緊迫。</w:t>
      </w:r>
      <w:r w:rsidR="00F1036E">
        <w:rPr>
          <w:rFonts w:hint="eastAsia"/>
        </w:rPr>
        <w:t>2014</w:t>
      </w:r>
      <w:r w:rsidR="00F1036E">
        <w:rPr>
          <w:rFonts w:hint="eastAsia"/>
        </w:rPr>
        <w:t>年</w:t>
      </w:r>
      <w:r w:rsidR="00F1036E" w:rsidRPr="00F1036E">
        <w:rPr>
          <w:rFonts w:hint="eastAsia"/>
        </w:rPr>
        <w:t>10</w:t>
      </w:r>
      <w:r w:rsidR="00F1036E" w:rsidRPr="00F1036E">
        <w:rPr>
          <w:rFonts w:hint="eastAsia"/>
        </w:rPr>
        <w:t>月</w:t>
      </w:r>
      <w:r w:rsidR="00F1036E" w:rsidRPr="00F1036E">
        <w:rPr>
          <w:rFonts w:hint="eastAsia"/>
        </w:rPr>
        <w:t>24</w:t>
      </w:r>
      <w:r w:rsidR="00F1036E" w:rsidRPr="00F1036E">
        <w:rPr>
          <w:rFonts w:hint="eastAsia"/>
        </w:rPr>
        <w:t>日</w:t>
      </w:r>
      <w:r w:rsidR="00F1036E">
        <w:rPr>
          <w:rFonts w:hint="eastAsia"/>
        </w:rPr>
        <w:t>，</w:t>
      </w:r>
      <w:r w:rsidR="00F1036E" w:rsidRPr="00F1036E">
        <w:rPr>
          <w:rFonts w:hint="eastAsia"/>
        </w:rPr>
        <w:t>中國</w:t>
      </w:r>
      <w:r w:rsidR="00F1036E">
        <w:rPr>
          <w:rFonts w:hint="eastAsia"/>
        </w:rPr>
        <w:t>大陸</w:t>
      </w:r>
      <w:r w:rsidR="00F1036E" w:rsidRPr="00F1036E">
        <w:rPr>
          <w:rFonts w:hint="eastAsia"/>
        </w:rPr>
        <w:t>與其他</w:t>
      </w:r>
      <w:r w:rsidR="00F1036E" w:rsidRPr="00F1036E">
        <w:rPr>
          <w:rFonts w:hint="eastAsia"/>
        </w:rPr>
        <w:t>21</w:t>
      </w:r>
      <w:r w:rsidR="00F1036E" w:rsidRPr="00F1036E">
        <w:rPr>
          <w:rFonts w:hint="eastAsia"/>
        </w:rPr>
        <w:t>個國家</w:t>
      </w:r>
      <w:r w:rsidR="00F1036E">
        <w:rPr>
          <w:rFonts w:hint="eastAsia"/>
        </w:rPr>
        <w:t>（包括印度、</w:t>
      </w:r>
      <w:r w:rsidR="00DA4284">
        <w:rPr>
          <w:rFonts w:hint="eastAsia"/>
        </w:rPr>
        <w:t>巴基斯坦、哈薩克、馬來西亞、泰國、</w:t>
      </w:r>
      <w:r w:rsidR="00F1036E" w:rsidRPr="00F1036E">
        <w:rPr>
          <w:rFonts w:hint="eastAsia"/>
        </w:rPr>
        <w:t>新加坡、越南、菲律賓和蒙古</w:t>
      </w:r>
      <w:r w:rsidR="00DA4284">
        <w:rPr>
          <w:rFonts w:hint="eastAsia"/>
        </w:rPr>
        <w:t>等）</w:t>
      </w:r>
      <w:r w:rsidR="00F1036E" w:rsidRPr="00F1036E">
        <w:rPr>
          <w:rFonts w:hint="eastAsia"/>
        </w:rPr>
        <w:t>在北京簽署了備忘錄，</w:t>
      </w:r>
      <w:r w:rsidR="00F1036E">
        <w:rPr>
          <w:rFonts w:hint="eastAsia"/>
        </w:rPr>
        <w:t>正式宣布</w:t>
      </w:r>
      <w:r w:rsidR="00F1036E" w:rsidRPr="00F1036E">
        <w:rPr>
          <w:rFonts w:hint="eastAsia"/>
        </w:rPr>
        <w:t>成立亞洲基礎設施投資</w:t>
      </w:r>
      <w:r w:rsidR="00F1036E" w:rsidRPr="00F1036E">
        <w:rPr>
          <w:rFonts w:hint="eastAsia"/>
        </w:rPr>
        <w:lastRenderedPageBreak/>
        <w:t>銀行</w:t>
      </w:r>
      <w:r w:rsidR="00DA4284">
        <w:rPr>
          <w:rFonts w:hint="eastAsia"/>
        </w:rPr>
        <w:t>（</w:t>
      </w:r>
      <w:r w:rsidR="00DA4284">
        <w:rPr>
          <w:rFonts w:hint="eastAsia"/>
        </w:rPr>
        <w:t>Asian Infrastructure Investment Bank, AIIB</w:t>
      </w:r>
      <w:r w:rsidR="00DA4284">
        <w:rPr>
          <w:rFonts w:hint="eastAsia"/>
        </w:rPr>
        <w:t>）</w:t>
      </w:r>
      <w:r w:rsidRPr="00C87376">
        <w:rPr>
          <w:rFonts w:hint="eastAsia"/>
        </w:rPr>
        <w:t>，</w:t>
      </w:r>
      <w:r w:rsidR="00DA4284">
        <w:rPr>
          <w:rFonts w:hint="eastAsia"/>
        </w:rPr>
        <w:t>法定資本額為</w:t>
      </w:r>
      <w:r w:rsidR="00DA4284">
        <w:rPr>
          <w:rFonts w:hint="eastAsia"/>
        </w:rPr>
        <w:t>1,000</w:t>
      </w:r>
      <w:r w:rsidR="00DA4284">
        <w:rPr>
          <w:rFonts w:hint="eastAsia"/>
        </w:rPr>
        <w:t>億美元，要</w:t>
      </w:r>
      <w:r w:rsidRPr="00C87376">
        <w:rPr>
          <w:rFonts w:hint="eastAsia"/>
        </w:rPr>
        <w:t>為「一帶一路」沿線國家基礎建設提供資金服務，重點針對鐵路、</w:t>
      </w:r>
      <w:r w:rsidR="00F1036E" w:rsidRPr="00C87376">
        <w:rPr>
          <w:rFonts w:hint="eastAsia"/>
        </w:rPr>
        <w:t>公</w:t>
      </w:r>
      <w:r w:rsidRPr="00C87376">
        <w:rPr>
          <w:rFonts w:hint="eastAsia"/>
        </w:rPr>
        <w:t>路、機場、電信、能源等基礎設施投資項目給予資金支持</w:t>
      </w:r>
      <w:r w:rsidR="00DA4284">
        <w:rPr>
          <w:rFonts w:hint="eastAsia"/>
        </w:rPr>
        <w:t>，</w:t>
      </w:r>
      <w:r w:rsidR="00DA4284" w:rsidRPr="00DA4284">
        <w:rPr>
          <w:rFonts w:hint="eastAsia"/>
        </w:rPr>
        <w:t>各國預計</w:t>
      </w:r>
      <w:r w:rsidR="00DA4284">
        <w:rPr>
          <w:rFonts w:hint="eastAsia"/>
        </w:rPr>
        <w:t>要</w:t>
      </w:r>
      <w:r w:rsidR="00DA4284" w:rsidRPr="00DA4284">
        <w:rPr>
          <w:rFonts w:hint="eastAsia"/>
        </w:rPr>
        <w:t>在</w:t>
      </w:r>
      <w:r w:rsidR="00DA4284" w:rsidRPr="00DA4284">
        <w:rPr>
          <w:rFonts w:hint="eastAsia"/>
        </w:rPr>
        <w:t>2015</w:t>
      </w:r>
      <w:r w:rsidR="00DA4284">
        <w:rPr>
          <w:rFonts w:hint="eastAsia"/>
        </w:rPr>
        <w:t>年</w:t>
      </w:r>
      <w:r w:rsidR="00DA4284" w:rsidRPr="00DA4284">
        <w:rPr>
          <w:rFonts w:hint="eastAsia"/>
        </w:rPr>
        <w:t>完成章程談判和簽署工作，</w:t>
      </w:r>
      <w:r w:rsidR="00DA4284">
        <w:rPr>
          <w:rFonts w:hint="eastAsia"/>
        </w:rPr>
        <w:t>使其</w:t>
      </w:r>
      <w:r w:rsidR="00DA4284" w:rsidRPr="00DA4284">
        <w:rPr>
          <w:rFonts w:hint="eastAsia"/>
        </w:rPr>
        <w:t>在</w:t>
      </w:r>
      <w:r w:rsidR="00DA4284" w:rsidRPr="00DA4284">
        <w:rPr>
          <w:rFonts w:hint="eastAsia"/>
        </w:rPr>
        <w:t>2015</w:t>
      </w:r>
      <w:r w:rsidR="00DA4284" w:rsidRPr="00DA4284">
        <w:rPr>
          <w:rFonts w:hint="eastAsia"/>
        </w:rPr>
        <w:t>年底前投入運作</w:t>
      </w:r>
      <w:r w:rsidRPr="00C87376">
        <w:rPr>
          <w:rFonts w:hint="eastAsia"/>
        </w:rPr>
        <w:t>。並先從東協國家和中國大陸籌劃起，再逐步擴大到亞洲其他國家，這對於海上絲綢之路的建設有相當重要的</w:t>
      </w:r>
      <w:r w:rsidR="00DA4284">
        <w:rPr>
          <w:rFonts w:hint="eastAsia"/>
        </w:rPr>
        <w:t>資金</w:t>
      </w:r>
      <w:r w:rsidRPr="00C87376">
        <w:rPr>
          <w:rFonts w:hint="eastAsia"/>
        </w:rPr>
        <w:t>支</w:t>
      </w:r>
      <w:r w:rsidR="00DA4284">
        <w:rPr>
          <w:rFonts w:hint="eastAsia"/>
        </w:rPr>
        <w:t>持</w:t>
      </w:r>
      <w:r w:rsidRPr="00C87376">
        <w:rPr>
          <w:rFonts w:hint="eastAsia"/>
        </w:rPr>
        <w:t>作用</w:t>
      </w:r>
      <w:r w:rsidR="00196463">
        <w:rPr>
          <w:rStyle w:val="aff0"/>
        </w:rPr>
        <w:footnoteReference w:id="20"/>
      </w:r>
      <w:r w:rsidRPr="00C87376">
        <w:rPr>
          <w:rFonts w:hint="eastAsia"/>
        </w:rPr>
        <w:t>。</w:t>
      </w:r>
    </w:p>
    <w:p w:rsidR="00FC7402" w:rsidRDefault="00DB0C74" w:rsidP="00FC7402">
      <w:pPr>
        <w:pStyle w:val="-"/>
        <w:spacing w:before="108" w:after="108"/>
        <w:ind w:firstLine="520"/>
      </w:pPr>
      <w:r w:rsidRPr="00C87376">
        <w:rPr>
          <w:rFonts w:hint="eastAsia"/>
        </w:rPr>
        <w:t>亞洲基礎設施投資銀行被視為大陸版馬歇爾計畫，中國大陸仿效美國二戰後的馬歇爾計畫，以資本輸出的方式帶動商品、勞務等產業走出去。這種以大國之姿向低收入國家提供基礎建設投資，同時也主導話語權和設置議題，體現習李對</w:t>
      </w:r>
      <w:r w:rsidR="005F5D55">
        <w:rPr>
          <w:rFonts w:hint="eastAsia"/>
        </w:rPr>
        <w:t>外經貿新戰略的思維。然而亞洲基礎設施投資銀行的籌建將日本</w:t>
      </w:r>
      <w:r w:rsidRPr="00C87376">
        <w:rPr>
          <w:rFonts w:hint="eastAsia"/>
        </w:rPr>
        <w:t>排除在外，被視為中國大陸有意對抗日本主導的亞洲開發銀行，擴大在亞洲的經濟影響力。</w:t>
      </w:r>
    </w:p>
    <w:p w:rsidR="00F018DC" w:rsidRPr="00FD5F24" w:rsidRDefault="00F018DC" w:rsidP="00FC7402">
      <w:pPr>
        <w:pStyle w:val="-"/>
        <w:spacing w:before="108" w:after="108"/>
        <w:ind w:firstLine="520"/>
      </w:pPr>
      <w:r>
        <w:rPr>
          <w:rFonts w:hint="eastAsia"/>
        </w:rPr>
        <w:t>此外，</w:t>
      </w:r>
      <w:r w:rsidRPr="00F018DC">
        <w:rPr>
          <w:rFonts w:hint="eastAsia"/>
        </w:rPr>
        <w:t>習近平</w:t>
      </w:r>
      <w:r>
        <w:rPr>
          <w:rFonts w:hint="eastAsia"/>
        </w:rPr>
        <w:t>於</w:t>
      </w:r>
      <w:r>
        <w:rPr>
          <w:rFonts w:hint="eastAsia"/>
        </w:rPr>
        <w:t>2014</w:t>
      </w:r>
      <w:r>
        <w:rPr>
          <w:rFonts w:hint="eastAsia"/>
        </w:rPr>
        <w:t>年</w:t>
      </w:r>
      <w:r w:rsidRPr="00F018DC">
        <w:rPr>
          <w:rFonts w:hint="eastAsia"/>
        </w:rPr>
        <w:t>11</w:t>
      </w:r>
      <w:r w:rsidRPr="00F018DC">
        <w:rPr>
          <w:rFonts w:hint="eastAsia"/>
        </w:rPr>
        <w:t>月</w:t>
      </w:r>
      <w:r w:rsidRPr="00F018DC">
        <w:rPr>
          <w:rFonts w:hint="eastAsia"/>
        </w:rPr>
        <w:t>8</w:t>
      </w:r>
      <w:r>
        <w:rPr>
          <w:rFonts w:hint="eastAsia"/>
        </w:rPr>
        <w:t>日</w:t>
      </w:r>
      <w:r w:rsidRPr="00F018DC">
        <w:rPr>
          <w:rFonts w:hint="eastAsia"/>
        </w:rPr>
        <w:t>在北京</w:t>
      </w:r>
      <w:r>
        <w:rPr>
          <w:rFonts w:hint="eastAsia"/>
        </w:rPr>
        <w:t>舉辦亞太經合會（</w:t>
      </w:r>
      <w:r>
        <w:rPr>
          <w:rFonts w:hint="eastAsia"/>
        </w:rPr>
        <w:t>APEC</w:t>
      </w:r>
      <w:r>
        <w:rPr>
          <w:rFonts w:hint="eastAsia"/>
        </w:rPr>
        <w:t>）期間宣布</w:t>
      </w:r>
      <w:r w:rsidRPr="00F018DC">
        <w:rPr>
          <w:rFonts w:hint="eastAsia"/>
        </w:rPr>
        <w:t>，中國</w:t>
      </w:r>
      <w:r>
        <w:rPr>
          <w:rFonts w:hint="eastAsia"/>
        </w:rPr>
        <w:t>大陸</w:t>
      </w:r>
      <w:r w:rsidRPr="00F018DC">
        <w:rPr>
          <w:rFonts w:hint="eastAsia"/>
        </w:rPr>
        <w:t>將出資</w:t>
      </w:r>
      <w:r w:rsidRPr="00F018DC">
        <w:rPr>
          <w:rFonts w:hint="eastAsia"/>
        </w:rPr>
        <w:t>400</w:t>
      </w:r>
      <w:r>
        <w:rPr>
          <w:rFonts w:hint="eastAsia"/>
        </w:rPr>
        <w:t>億美元自行成立「絲路基金」，推動發展亞洲區域經濟，尤其是為「</w:t>
      </w:r>
      <w:r w:rsidRPr="00F018DC">
        <w:rPr>
          <w:rFonts w:hint="eastAsia"/>
        </w:rPr>
        <w:t>一帶一路</w:t>
      </w:r>
      <w:r>
        <w:rPr>
          <w:rFonts w:hint="eastAsia"/>
        </w:rPr>
        <w:t>」</w:t>
      </w:r>
      <w:r w:rsidRPr="00F018DC">
        <w:rPr>
          <w:rFonts w:hint="eastAsia"/>
        </w:rPr>
        <w:t>沿線國家的基礎設施、資源開發、產業和金融合作等與互聯互通有關項目提供投融資支持，</w:t>
      </w:r>
      <w:r>
        <w:rPr>
          <w:rFonts w:hint="eastAsia"/>
        </w:rPr>
        <w:t>以</w:t>
      </w:r>
      <w:r w:rsidRPr="00F018DC">
        <w:rPr>
          <w:rFonts w:hint="eastAsia"/>
        </w:rPr>
        <w:t>「打破亞洲互聯互通瓶頸」</w:t>
      </w:r>
      <w:r>
        <w:rPr>
          <w:rFonts w:hint="eastAsia"/>
        </w:rPr>
        <w:t>。此一基金是開放性的，</w:t>
      </w:r>
      <w:r w:rsidRPr="00F018DC">
        <w:rPr>
          <w:rFonts w:hint="eastAsia"/>
        </w:rPr>
        <w:t>歡迎亞洲域內外的投資者積極參與</w:t>
      </w:r>
      <w:r>
        <w:rPr>
          <w:rFonts w:hint="eastAsia"/>
        </w:rPr>
        <w:t>。綜合以上，除了看到中國大陸對於海陸絲路戰略的重視外，也可以看到中國大陸意圖逐漸轉變成為資本輸出國家，擴大自己在區域地緣政治上的影響力</w:t>
      </w:r>
      <w:r w:rsidR="00196463">
        <w:rPr>
          <w:rStyle w:val="aff0"/>
        </w:rPr>
        <w:footnoteReference w:id="21"/>
      </w:r>
      <w:r>
        <w:rPr>
          <w:rFonts w:hint="eastAsia"/>
        </w:rPr>
        <w:t>。</w:t>
      </w:r>
      <w:r w:rsidR="00AF1294">
        <w:rPr>
          <w:rFonts w:hint="eastAsia"/>
        </w:rPr>
        <w:t>我國政府目前尚未表態是否加入參與</w:t>
      </w:r>
      <w:r w:rsidR="00AF1294" w:rsidRPr="00C87376">
        <w:rPr>
          <w:rFonts w:hint="eastAsia"/>
        </w:rPr>
        <w:t>亞洲基礎設施投資銀行</w:t>
      </w:r>
      <w:r w:rsidR="00AF1294">
        <w:rPr>
          <w:rFonts w:hint="eastAsia"/>
        </w:rPr>
        <w:t>，但至少應盡速就上述議題展開研究，以明瞭參與與否對我國之各項利弊得失，並預為因應。</w:t>
      </w:r>
    </w:p>
    <w:p w:rsidR="00FC7402" w:rsidRPr="00136805" w:rsidRDefault="00DB0C74" w:rsidP="00FC7402">
      <w:pPr>
        <w:pStyle w:val="3"/>
        <w:spacing w:beforeLines="100" w:before="360" w:after="72"/>
        <w:rPr>
          <w:rFonts w:ascii="Times New Roman" w:hAnsi="Times New Roman"/>
        </w:rPr>
      </w:pPr>
      <w:r>
        <w:rPr>
          <w:rFonts w:ascii="Times New Roman" w:hAnsi="Times New Roman" w:hint="eastAsia"/>
        </w:rPr>
        <w:lastRenderedPageBreak/>
        <w:t>貳</w:t>
      </w:r>
      <w:r w:rsidRPr="00136805">
        <w:rPr>
          <w:rFonts w:ascii="Times New Roman" w:hAnsi="Times New Roman" w:hint="eastAsia"/>
        </w:rPr>
        <w:t>、</w:t>
      </w:r>
      <w:r>
        <w:rPr>
          <w:rFonts w:ascii="Times New Roman" w:hAnsi="Times New Roman" w:hint="eastAsia"/>
        </w:rPr>
        <w:t>海陸絲路</w:t>
      </w:r>
      <w:r w:rsidRPr="00136805">
        <w:rPr>
          <w:rFonts w:ascii="Times New Roman" w:hAnsi="Times New Roman"/>
        </w:rPr>
        <w:t>2014</w:t>
      </w:r>
      <w:r w:rsidRPr="00136805">
        <w:rPr>
          <w:rFonts w:ascii="Times New Roman" w:hAnsi="Times New Roman" w:hint="eastAsia"/>
        </w:rPr>
        <w:t>年</w:t>
      </w:r>
      <w:r>
        <w:rPr>
          <w:rFonts w:ascii="Times New Roman" w:hAnsi="Times New Roman" w:hint="eastAsia"/>
        </w:rPr>
        <w:t>動向與重點項目</w:t>
      </w:r>
    </w:p>
    <w:p w:rsidR="00FC7402" w:rsidRDefault="00DB0C74" w:rsidP="00FC7402">
      <w:pPr>
        <w:pStyle w:val="-"/>
        <w:spacing w:before="108" w:after="108"/>
        <w:ind w:firstLine="520"/>
      </w:pPr>
      <w:r>
        <w:rPr>
          <w:rFonts w:hint="eastAsia"/>
        </w:rPr>
        <w:t>前述提及</w:t>
      </w:r>
      <w:r>
        <w:t>2013</w:t>
      </w:r>
      <w:r>
        <w:rPr>
          <w:rFonts w:hint="eastAsia"/>
        </w:rPr>
        <w:t>年底針對</w:t>
      </w:r>
      <w:r>
        <w:t>2014</w:t>
      </w:r>
      <w:r>
        <w:rPr>
          <w:rFonts w:hint="eastAsia"/>
        </w:rPr>
        <w:t>年度之</w:t>
      </w:r>
      <w:r w:rsidRPr="003C4B82">
        <w:rPr>
          <w:rFonts w:hint="eastAsia"/>
        </w:rPr>
        <w:t>中央經濟工作會議</w:t>
      </w:r>
      <w:r>
        <w:rPr>
          <w:rFonts w:hint="eastAsia"/>
        </w:rPr>
        <w:t>中</w:t>
      </w:r>
      <w:r w:rsidRPr="003C4B82">
        <w:rPr>
          <w:rFonts w:hint="eastAsia"/>
        </w:rPr>
        <w:t>提及</w:t>
      </w:r>
      <w:r>
        <w:rPr>
          <w:rFonts w:hint="eastAsia"/>
        </w:rPr>
        <w:t>，針對一帶一路絲綢之路，要完成</w:t>
      </w:r>
      <w:r w:rsidRPr="003C4B82">
        <w:rPr>
          <w:rFonts w:hint="eastAsia"/>
        </w:rPr>
        <w:t>制定戰略規劃和加強基礎設施的建設</w:t>
      </w:r>
      <w:r>
        <w:rPr>
          <w:rFonts w:hint="eastAsia"/>
        </w:rPr>
        <w:t>，以下就先從習、李二人在</w:t>
      </w:r>
      <w:r>
        <w:t>2014</w:t>
      </w:r>
      <w:r>
        <w:rPr>
          <w:rFonts w:hint="eastAsia"/>
        </w:rPr>
        <w:t>年對歐洲的密集訪問開始討論起，因為整個絲綢之路戰略最重要的主軸就是促成中國大陸（亞洲）與歐洲共同復興歐亞大陸的整合發展。</w:t>
      </w:r>
    </w:p>
    <w:p w:rsidR="00FC7402" w:rsidRDefault="00DB0C74" w:rsidP="00FC7402">
      <w:pPr>
        <w:pStyle w:val="-"/>
        <w:spacing w:before="108" w:after="108"/>
        <w:ind w:firstLine="520"/>
      </w:pPr>
      <w:r w:rsidRPr="00891F01">
        <w:t>2014</w:t>
      </w:r>
      <w:r w:rsidRPr="00891F01">
        <w:rPr>
          <w:rFonts w:hint="eastAsia"/>
        </w:rPr>
        <w:t>年，習近平於</w:t>
      </w:r>
      <w:r w:rsidRPr="00891F01">
        <w:t>3</w:t>
      </w:r>
      <w:r w:rsidRPr="00891F01">
        <w:rPr>
          <w:rFonts w:hint="eastAsia"/>
        </w:rPr>
        <w:t>月底訪問歐洲，拜訪了荷蘭、法國、德國、比利時和聯合國教科文組織總部、歐盟總部等，共簽署</w:t>
      </w:r>
      <w:r w:rsidRPr="00891F01">
        <w:t>120</w:t>
      </w:r>
      <w:r w:rsidRPr="00891F01">
        <w:rPr>
          <w:rFonts w:hint="eastAsia"/>
        </w:rPr>
        <w:t>多項合作協議。習近平表示要把中歐合作和「絲綢之路經濟帶」等重大洲際合作倡議結合起來，以構建「亞歐大市場」，加強基礎設施互聯互通，共同維護多邊貿易體制，致力於發展開放型世界經濟。此行，中歐雙方除了增進瞭解、加強溝通之外，還簽署了多項經濟領域的合作案以及確認許多項目的合作意向，中方是以「兩大力量」、「兩大市場」、「兩大文明」來定位未來中歐的深化合作。</w:t>
      </w:r>
    </w:p>
    <w:p w:rsidR="00FC7402" w:rsidRDefault="00DB0C74" w:rsidP="00FC7402">
      <w:pPr>
        <w:pStyle w:val="-"/>
        <w:spacing w:before="108" w:after="108"/>
        <w:ind w:firstLine="520"/>
      </w:pPr>
      <w:r>
        <w:rPr>
          <w:rFonts w:hint="eastAsia"/>
        </w:rPr>
        <w:t>同年</w:t>
      </w:r>
      <w:r w:rsidRPr="00891F01">
        <w:t>6</w:t>
      </w:r>
      <w:r w:rsidRPr="00891F01">
        <w:rPr>
          <w:rFonts w:hint="eastAsia"/>
        </w:rPr>
        <w:t>月，總理李克強又到歐洲的海洋大國英國和希臘進行訪問，在此行中特別強調闡述中國大陸的「海洋觀」，除了基礎設施合作（如核電、高鐵等）以及各項經濟合作之外，希望推銷其「</w:t>
      </w:r>
      <w:r w:rsidRPr="00891F01">
        <w:t>21</w:t>
      </w:r>
      <w:r w:rsidRPr="00891F01">
        <w:rPr>
          <w:rFonts w:hint="eastAsia"/>
        </w:rPr>
        <w:t>世紀海上絲綢之路」戰略意圖十分明顯。近期，</w:t>
      </w:r>
      <w:r w:rsidRPr="00891F01">
        <w:t>10</w:t>
      </w:r>
      <w:r w:rsidRPr="00891F01">
        <w:rPr>
          <w:rFonts w:hint="eastAsia"/>
        </w:rPr>
        <w:t>月份李克強又出訪了俄羅斯、德國和南歐國家義大利，同樣簽訂多筆大單：中俄雙方簽署了</w:t>
      </w:r>
      <w:r w:rsidRPr="00891F01">
        <w:t>39</w:t>
      </w:r>
      <w:r w:rsidRPr="00891F01">
        <w:rPr>
          <w:rFonts w:hint="eastAsia"/>
        </w:rPr>
        <w:t>項協議，協議涉及天然氣供應、避免雙重徵稅、全球衛星導航、高鐵、核能、旅遊、金融、海關等多個領域，其中天然氣協議價值就高達</w:t>
      </w:r>
      <w:r w:rsidRPr="00891F01">
        <w:t>4</w:t>
      </w:r>
      <w:r w:rsidR="001E770E">
        <w:rPr>
          <w:rFonts w:hint="eastAsia"/>
        </w:rPr>
        <w:t>,</w:t>
      </w:r>
      <w:r w:rsidRPr="00891F01">
        <w:t>000</w:t>
      </w:r>
      <w:r w:rsidRPr="00891F01">
        <w:rPr>
          <w:rFonts w:hint="eastAsia"/>
        </w:rPr>
        <w:t>億美元。中德間簽署了</w:t>
      </w:r>
      <w:r w:rsidRPr="00891F01">
        <w:t>50</w:t>
      </w:r>
      <w:r w:rsidRPr="00891F01">
        <w:rPr>
          <w:rFonts w:hint="eastAsia"/>
        </w:rPr>
        <w:t>項左右的商業和政府間協議，雙邊貿易與相互投資及技術合作協定總額達</w:t>
      </w:r>
      <w:r w:rsidRPr="00891F01">
        <w:t>181</w:t>
      </w:r>
      <w:r w:rsidRPr="00891F01">
        <w:rPr>
          <w:rFonts w:hint="eastAsia"/>
        </w:rPr>
        <w:t>億美元。而在義大利，則簽署了總額達</w:t>
      </w:r>
      <w:r w:rsidRPr="00891F01">
        <w:t>80</w:t>
      </w:r>
      <w:r w:rsidRPr="00891F01">
        <w:rPr>
          <w:rFonts w:hint="eastAsia"/>
        </w:rPr>
        <w:t>億歐元、包括能源、機械領域的各項商業合約。</w:t>
      </w:r>
    </w:p>
    <w:p w:rsidR="00FC7402" w:rsidRDefault="00DB0C74" w:rsidP="00FC7402">
      <w:pPr>
        <w:pStyle w:val="-"/>
        <w:spacing w:before="108" w:after="108"/>
        <w:ind w:firstLine="520"/>
      </w:pPr>
      <w:r>
        <w:rPr>
          <w:rFonts w:hint="eastAsia"/>
        </w:rPr>
        <w:t>以上簡要對於中歐互動的觀察可以知道，儘管中歐之間的往來不僅止</w:t>
      </w:r>
      <w:r>
        <w:rPr>
          <w:rFonts w:hint="eastAsia"/>
        </w:rPr>
        <w:lastRenderedPageBreak/>
        <w:t>於推動所謂絲綢之路戰略，還包括了更多外交、經貿、科技等面向，甚至包括個別重點國家的特定議題合作。然而，除了拜訪過程當中習、李兩人都十分強調絲綢之路戰略外，前述的其他面向，我們認為對於中共來說，仍可以理解為在絲綢之路大戰略之下的長期議題或組成部分。因此，未來我們認為對於中國大陸與歐洲、中亞、東南亞、南亞、中東，甚至北非之間的外交經貿往來，都可以適度從絲綢之路戰略的角度去理解。</w:t>
      </w:r>
    </w:p>
    <w:p w:rsidR="00FC7402" w:rsidRDefault="00DB0C74" w:rsidP="00FC7402">
      <w:pPr>
        <w:pStyle w:val="-"/>
        <w:spacing w:before="108" w:after="108"/>
        <w:ind w:firstLine="520"/>
      </w:pPr>
      <w:r>
        <w:rPr>
          <w:rFonts w:hint="eastAsia"/>
        </w:rPr>
        <w:t>關於戰略規劃部分的進展，根據媒體報導，「</w:t>
      </w:r>
      <w:r w:rsidRPr="001A2B4C">
        <w:rPr>
          <w:rFonts w:hint="eastAsia"/>
        </w:rPr>
        <w:t>絲綢之路經濟帶</w:t>
      </w:r>
      <w:r>
        <w:rPr>
          <w:rFonts w:hint="eastAsia"/>
        </w:rPr>
        <w:t>」</w:t>
      </w:r>
      <w:r w:rsidRPr="001A2B4C">
        <w:rPr>
          <w:rFonts w:hint="eastAsia"/>
        </w:rPr>
        <w:t>和</w:t>
      </w:r>
      <w:r>
        <w:rPr>
          <w:rFonts w:hint="eastAsia"/>
        </w:rPr>
        <w:t>「</w:t>
      </w:r>
      <w:r w:rsidRPr="001A2B4C">
        <w:t>21</w:t>
      </w:r>
      <w:r w:rsidRPr="001A2B4C">
        <w:rPr>
          <w:rFonts w:hint="eastAsia"/>
        </w:rPr>
        <w:t>世紀海上絲綢之路</w:t>
      </w:r>
      <w:r>
        <w:rPr>
          <w:rFonts w:hint="eastAsia"/>
        </w:rPr>
        <w:t>」之總體規劃</w:t>
      </w:r>
      <w:r w:rsidRPr="001A2B4C">
        <w:rPr>
          <w:rFonts w:hint="eastAsia"/>
        </w:rPr>
        <w:t>工作</w:t>
      </w:r>
      <w:r>
        <w:rPr>
          <w:rFonts w:hint="eastAsia"/>
        </w:rPr>
        <w:t>是</w:t>
      </w:r>
      <w:r w:rsidRPr="001A2B4C">
        <w:rPr>
          <w:rFonts w:hint="eastAsia"/>
        </w:rPr>
        <w:t>由</w:t>
      </w:r>
      <w:r w:rsidR="00EE24EE">
        <w:rPr>
          <w:rFonts w:hint="eastAsia"/>
        </w:rPr>
        <w:t>中國大陸國家發改委</w:t>
      </w:r>
      <w:r w:rsidRPr="001A2B4C">
        <w:rPr>
          <w:rFonts w:hint="eastAsia"/>
        </w:rPr>
        <w:t>、外交部、商務部</w:t>
      </w:r>
      <w:r>
        <w:rPr>
          <w:rFonts w:hint="eastAsia"/>
        </w:rPr>
        <w:t>來</w:t>
      </w:r>
      <w:r w:rsidR="000547AD">
        <w:rPr>
          <w:rFonts w:hint="eastAsia"/>
        </w:rPr>
        <w:t>共同</w:t>
      </w:r>
      <w:r w:rsidRPr="001A2B4C">
        <w:rPr>
          <w:rFonts w:hint="eastAsia"/>
        </w:rPr>
        <w:t>編制</w:t>
      </w:r>
      <w:r>
        <w:rPr>
          <w:rFonts w:hint="eastAsia"/>
        </w:rPr>
        <w:t>，</w:t>
      </w:r>
      <w:r w:rsidRPr="001A2B4C">
        <w:rPr>
          <w:rFonts w:hint="eastAsia"/>
        </w:rPr>
        <w:t>已於</w:t>
      </w:r>
      <w:r w:rsidRPr="001A2B4C">
        <w:t>10</w:t>
      </w:r>
      <w:r w:rsidRPr="001A2B4C">
        <w:rPr>
          <w:rFonts w:hint="eastAsia"/>
        </w:rPr>
        <w:t>月上旬上報國務院</w:t>
      </w:r>
      <w:r>
        <w:rPr>
          <w:rFonts w:hint="eastAsia"/>
        </w:rPr>
        <w:t>審批</w:t>
      </w:r>
      <w:r w:rsidRPr="001A2B4C">
        <w:rPr>
          <w:rFonts w:hint="eastAsia"/>
        </w:rPr>
        <w:t>，</w:t>
      </w:r>
      <w:r>
        <w:rPr>
          <w:rFonts w:hint="eastAsia"/>
        </w:rPr>
        <w:t>此外，</w:t>
      </w:r>
      <w:r w:rsidRPr="001A2B4C">
        <w:rPr>
          <w:rFonts w:hint="eastAsia"/>
        </w:rPr>
        <w:t>相關專項規劃和扶持政策也將</w:t>
      </w:r>
      <w:r>
        <w:rPr>
          <w:rFonts w:hint="eastAsia"/>
        </w:rPr>
        <w:t>在之後</w:t>
      </w:r>
      <w:r w:rsidRPr="001A2B4C">
        <w:rPr>
          <w:rFonts w:hint="eastAsia"/>
        </w:rPr>
        <w:t>陸續</w:t>
      </w:r>
      <w:r>
        <w:rPr>
          <w:rFonts w:hint="eastAsia"/>
        </w:rPr>
        <w:t>推出。因此，較具體之方向仍有待未來才能明朗化</w:t>
      </w:r>
      <w:r w:rsidR="00196463">
        <w:rPr>
          <w:rStyle w:val="aff0"/>
        </w:rPr>
        <w:footnoteReference w:id="22"/>
      </w:r>
      <w:r>
        <w:rPr>
          <w:rFonts w:hint="eastAsia"/>
        </w:rPr>
        <w:t>。但就目前觀察來看，早</w:t>
      </w:r>
      <w:r w:rsidRPr="00BF4BAF">
        <w:rPr>
          <w:rFonts w:hint="eastAsia"/>
        </w:rPr>
        <w:t>期</w:t>
      </w:r>
      <w:r>
        <w:rPr>
          <w:rFonts w:hint="eastAsia"/>
        </w:rPr>
        <w:t>的</w:t>
      </w:r>
      <w:r w:rsidRPr="00BF4BAF">
        <w:rPr>
          <w:rFonts w:hint="eastAsia"/>
        </w:rPr>
        <w:t>重點</w:t>
      </w:r>
      <w:r>
        <w:rPr>
          <w:rFonts w:hint="eastAsia"/>
        </w:rPr>
        <w:t>仍</w:t>
      </w:r>
      <w:r w:rsidRPr="00BF4BAF">
        <w:rPr>
          <w:rFonts w:hint="eastAsia"/>
        </w:rPr>
        <w:t>是</w:t>
      </w:r>
      <w:r>
        <w:rPr>
          <w:rFonts w:hint="eastAsia"/>
        </w:rPr>
        <w:t>交通運輸</w:t>
      </w:r>
      <w:r w:rsidRPr="00BF4BAF">
        <w:rPr>
          <w:rFonts w:hint="eastAsia"/>
        </w:rPr>
        <w:t>、能源管線等基礎設施</w:t>
      </w:r>
      <w:r>
        <w:rPr>
          <w:rFonts w:hint="eastAsia"/>
        </w:rPr>
        <w:t>之「</w:t>
      </w:r>
      <w:r w:rsidRPr="00BF4BAF">
        <w:rPr>
          <w:rFonts w:hint="eastAsia"/>
        </w:rPr>
        <w:t>共建</w:t>
      </w:r>
      <w:r>
        <w:rPr>
          <w:rFonts w:hint="eastAsia"/>
        </w:rPr>
        <w:t>」</w:t>
      </w:r>
      <w:r w:rsidRPr="00BF4BAF">
        <w:rPr>
          <w:rFonts w:hint="eastAsia"/>
        </w:rPr>
        <w:t>和</w:t>
      </w:r>
      <w:r>
        <w:rPr>
          <w:rFonts w:hint="eastAsia"/>
        </w:rPr>
        <w:t>制度與訊息上之</w:t>
      </w:r>
      <w:r w:rsidRPr="00BF4BAF">
        <w:rPr>
          <w:rFonts w:hint="eastAsia"/>
        </w:rPr>
        <w:t>互聯互通，</w:t>
      </w:r>
      <w:r>
        <w:rPr>
          <w:rFonts w:hint="eastAsia"/>
        </w:rPr>
        <w:t>以</w:t>
      </w:r>
      <w:r w:rsidRPr="00BF4BAF">
        <w:rPr>
          <w:rFonts w:hint="eastAsia"/>
        </w:rPr>
        <w:t>提高貿易和投資便利化程度</w:t>
      </w:r>
      <w:r>
        <w:rPr>
          <w:rFonts w:hint="eastAsia"/>
        </w:rPr>
        <w:t>與人員往來</w:t>
      </w:r>
      <w:r w:rsidRPr="00BF4BAF">
        <w:rPr>
          <w:rFonts w:hint="eastAsia"/>
        </w:rPr>
        <w:t>，最終</w:t>
      </w:r>
      <w:r>
        <w:rPr>
          <w:rFonts w:hint="eastAsia"/>
        </w:rPr>
        <w:t>目標之一環是要構</w:t>
      </w:r>
      <w:r w:rsidRPr="00BF4BAF">
        <w:rPr>
          <w:rFonts w:hint="eastAsia"/>
        </w:rPr>
        <w:t>建</w:t>
      </w:r>
      <w:r>
        <w:rPr>
          <w:rFonts w:hint="eastAsia"/>
        </w:rPr>
        <w:t>涵蓋歐、亞、非三洲</w:t>
      </w:r>
      <w:r w:rsidRPr="00BF4BAF">
        <w:rPr>
          <w:rFonts w:hint="eastAsia"/>
        </w:rPr>
        <w:t>的</w:t>
      </w:r>
      <w:r>
        <w:rPr>
          <w:rFonts w:hint="eastAsia"/>
        </w:rPr>
        <w:t>跨洲</w:t>
      </w:r>
      <w:r w:rsidRPr="00BF4BAF">
        <w:rPr>
          <w:rFonts w:hint="eastAsia"/>
        </w:rPr>
        <w:t>自由貿易區。</w:t>
      </w:r>
    </w:p>
    <w:p w:rsidR="00FC7402" w:rsidRPr="00FD5F24" w:rsidRDefault="00DB0C74" w:rsidP="00FC7402">
      <w:pPr>
        <w:pStyle w:val="-"/>
        <w:spacing w:before="108" w:after="108"/>
        <w:ind w:firstLine="520"/>
      </w:pPr>
      <w:r>
        <w:rPr>
          <w:rFonts w:hint="eastAsia"/>
        </w:rPr>
        <w:t>就</w:t>
      </w:r>
      <w:r>
        <w:t>2014</w:t>
      </w:r>
      <w:r>
        <w:rPr>
          <w:rFonts w:hint="eastAsia"/>
        </w:rPr>
        <w:t>年度實質工作項目來說，目前</w:t>
      </w:r>
      <w:r w:rsidR="00CC46B2">
        <w:rPr>
          <w:rFonts w:hint="eastAsia"/>
        </w:rPr>
        <w:t>孟「中」印緬</w:t>
      </w:r>
      <w:r w:rsidRPr="00563524">
        <w:rPr>
          <w:rFonts w:hint="eastAsia"/>
        </w:rPr>
        <w:t>經濟走廊</w:t>
      </w:r>
      <w:r>
        <w:rPr>
          <w:rFonts w:hint="eastAsia"/>
        </w:rPr>
        <w:t>、</w:t>
      </w:r>
      <w:r w:rsidR="00CC46B2">
        <w:rPr>
          <w:rFonts w:hint="eastAsia"/>
        </w:rPr>
        <w:t>「中」巴</w:t>
      </w:r>
      <w:r w:rsidRPr="00FD5F24">
        <w:rPr>
          <w:rFonts w:hint="eastAsia"/>
        </w:rPr>
        <w:t>經濟走廊</w:t>
      </w:r>
      <w:r>
        <w:rPr>
          <w:rFonts w:hint="eastAsia"/>
        </w:rPr>
        <w:t>等次區域戰略因為較早進行且被列為年度優先推動之項目，以下將略述其進展。</w:t>
      </w:r>
      <w:r w:rsidR="00CC46B2">
        <w:rPr>
          <w:rFonts w:hint="eastAsia"/>
        </w:rPr>
        <w:t>孟「中」印緬</w:t>
      </w:r>
      <w:r w:rsidRPr="00FD5F24">
        <w:rPr>
          <w:rFonts w:hint="eastAsia"/>
        </w:rPr>
        <w:t>和</w:t>
      </w:r>
      <w:r w:rsidR="00CC46B2">
        <w:rPr>
          <w:rFonts w:hint="eastAsia"/>
        </w:rPr>
        <w:t>「中」巴</w:t>
      </w:r>
      <w:r w:rsidRPr="00FD5F24">
        <w:rPr>
          <w:rFonts w:hint="eastAsia"/>
        </w:rPr>
        <w:t>經濟走廊</w:t>
      </w:r>
      <w:r>
        <w:rPr>
          <w:rFonts w:hint="eastAsia"/>
        </w:rPr>
        <w:t>皆</w:t>
      </w:r>
      <w:r w:rsidRPr="00FD5F24">
        <w:rPr>
          <w:rFonts w:hint="eastAsia"/>
        </w:rPr>
        <w:t>為次區域戰略，</w:t>
      </w:r>
      <w:r>
        <w:rPr>
          <w:rFonts w:hint="eastAsia"/>
        </w:rPr>
        <w:t>且</w:t>
      </w:r>
      <w:r w:rsidRPr="00FD5F24">
        <w:rPr>
          <w:rFonts w:hint="eastAsia"/>
        </w:rPr>
        <w:t>後者對前者具有相當重要的輔助作用。</w:t>
      </w:r>
      <w:r w:rsidRPr="00FD5F24">
        <w:t>2013</w:t>
      </w:r>
      <w:r w:rsidRPr="00FD5F24">
        <w:rPr>
          <w:rFonts w:hint="eastAsia"/>
        </w:rPr>
        <w:t>年</w:t>
      </w:r>
      <w:r w:rsidRPr="00FD5F24">
        <w:t>5</w:t>
      </w:r>
      <w:r w:rsidRPr="00FD5F24">
        <w:rPr>
          <w:rFonts w:hint="eastAsia"/>
        </w:rPr>
        <w:t>月李克強出訪印度、巴基斯坦、瑞士、德國等國時，與印度總理共同提倡</w:t>
      </w:r>
      <w:r w:rsidR="00CC46B2">
        <w:rPr>
          <w:rFonts w:hint="eastAsia"/>
        </w:rPr>
        <w:t>孟「中」印緬</w:t>
      </w:r>
      <w:r w:rsidRPr="00FD5F24">
        <w:rPr>
          <w:rFonts w:hint="eastAsia"/>
        </w:rPr>
        <w:t>經濟走廊建設，與巴基斯坦雙方聯合發表聲明成立</w:t>
      </w:r>
      <w:r w:rsidR="00CC46B2">
        <w:rPr>
          <w:rFonts w:hint="eastAsia"/>
        </w:rPr>
        <w:t>「中」巴</w:t>
      </w:r>
      <w:r w:rsidRPr="00FD5F24">
        <w:rPr>
          <w:rFonts w:hint="eastAsia"/>
        </w:rPr>
        <w:t>經濟走廊聯合工作組。隨後</w:t>
      </w:r>
      <w:r w:rsidRPr="00FD5F24">
        <w:t>2014</w:t>
      </w:r>
      <w:r w:rsidRPr="00FD5F24">
        <w:rPr>
          <w:rFonts w:hint="eastAsia"/>
        </w:rPr>
        <w:t>年全國兩會被列入政府工作報告中，做為絲綢之陸經濟帶的起始項目。</w:t>
      </w:r>
    </w:p>
    <w:p w:rsidR="00FC7402" w:rsidRPr="00E066CE" w:rsidRDefault="00CC46B2" w:rsidP="00FC7402">
      <w:pPr>
        <w:pStyle w:val="-"/>
        <w:spacing w:before="108" w:after="108"/>
        <w:ind w:firstLine="520"/>
        <w:rPr>
          <w:b/>
        </w:rPr>
      </w:pPr>
      <w:r>
        <w:rPr>
          <w:rFonts w:hint="eastAsia"/>
        </w:rPr>
        <w:t>孟「中」印緬</w:t>
      </w:r>
      <w:r w:rsidR="00DB0C74" w:rsidRPr="00E066CE">
        <w:rPr>
          <w:rFonts w:hint="eastAsia"/>
        </w:rPr>
        <w:t>經濟走廊</w:t>
      </w:r>
      <w:r w:rsidR="00DB0C74" w:rsidRPr="00FD5F24">
        <w:rPr>
          <w:rFonts w:hint="eastAsia"/>
        </w:rPr>
        <w:t>以昆明為東端，印度加爾各答為西端，包括以緬甸曼德勒、孟加拉達卡和古大港等主要城市和港口為重要樞紐。</w:t>
      </w:r>
      <w:r w:rsidR="00DB0C74" w:rsidRPr="00FD5F24">
        <w:t>2013</w:t>
      </w:r>
      <w:r w:rsidR="00DB0C74" w:rsidRPr="00FD5F24">
        <w:rPr>
          <w:rFonts w:hint="eastAsia"/>
        </w:rPr>
        <w:t>年</w:t>
      </w:r>
      <w:r w:rsidR="00DB0C74" w:rsidRPr="00FD5F24">
        <w:t>12</w:t>
      </w:r>
      <w:r w:rsidR="00DB0C74" w:rsidRPr="00FD5F24">
        <w:rPr>
          <w:rFonts w:hint="eastAsia"/>
        </w:rPr>
        <w:t>月</w:t>
      </w:r>
      <w:r>
        <w:rPr>
          <w:rFonts w:hint="eastAsia"/>
        </w:rPr>
        <w:t>孟「中」印緬</w:t>
      </w:r>
      <w:r w:rsidR="00DB0C74" w:rsidRPr="00FD5F24">
        <w:rPr>
          <w:rFonts w:hint="eastAsia"/>
        </w:rPr>
        <w:t>經濟走廊聯合工作組第一次會議在昆明召開，四國就交</w:t>
      </w:r>
      <w:r w:rsidR="00DB0C74" w:rsidRPr="00FD5F24">
        <w:rPr>
          <w:rFonts w:hint="eastAsia"/>
        </w:rPr>
        <w:lastRenderedPageBreak/>
        <w:t>通基礎設施建設、投資和商貿流通、人文交流等方面達成共識，並推行</w:t>
      </w:r>
      <w:r>
        <w:rPr>
          <w:rFonts w:hint="eastAsia"/>
        </w:rPr>
        <w:t>孟「中」印緬</w:t>
      </w:r>
      <w:r w:rsidR="00DB0C74" w:rsidRPr="00FD5F24">
        <w:rPr>
          <w:rFonts w:hint="eastAsia"/>
        </w:rPr>
        <w:t>經濟走廊聯合研究計劃。</w:t>
      </w:r>
    </w:p>
    <w:p w:rsidR="00FC7402" w:rsidRPr="00FD5F24" w:rsidRDefault="00DB0C74" w:rsidP="00FC7402">
      <w:pPr>
        <w:pStyle w:val="-"/>
        <w:spacing w:before="108" w:after="108"/>
        <w:ind w:firstLine="520"/>
      </w:pPr>
      <w:r w:rsidRPr="00FD5F24">
        <w:rPr>
          <w:rFonts w:hint="eastAsia"/>
        </w:rPr>
        <w:t>未來將朝四個方向發展，首先，在政治互信的基礎上，平等參與、相互協商，讓經濟走廊成為開放、透明、包容的合作示範區。其次，以符合各自國情的共同發展，除了推動工業、能源、電信等領域合作外，同時也要推動農業扶貧、環境保護、科技等領域合作。第三，加強互相開放，前期著重在基礎建設，後續逐步消除貿易與投資壁壘，深化區域經濟合作發展。第四，加強人文交流，在旅遊、衛生、教育等領域進行合作。</w:t>
      </w:r>
    </w:p>
    <w:p w:rsidR="00FC7402" w:rsidRPr="00FD5F24" w:rsidRDefault="00CC46B2" w:rsidP="00FC7402">
      <w:pPr>
        <w:pStyle w:val="-"/>
        <w:spacing w:before="108" w:after="108"/>
        <w:ind w:firstLine="520"/>
      </w:pPr>
      <w:r>
        <w:rPr>
          <w:rFonts w:hint="eastAsia"/>
        </w:rPr>
        <w:t>孟「中」印緬</w:t>
      </w:r>
      <w:r w:rsidR="00DB0C74" w:rsidRPr="00FD5F24">
        <w:rPr>
          <w:rFonts w:hint="eastAsia"/>
        </w:rPr>
        <w:t>經濟走廊提出後，印度和緬甸對此有許多疑慮，尤其是印度認為中國大陸透過經濟走廊伸入印度洋區域範圍，藉此解決出海口問題，因而具有相當大的警戒心。孟加拉因想藉此獲得經濟發展的機會，是三國中態度最為積極。</w:t>
      </w:r>
    </w:p>
    <w:p w:rsidR="00FC7402" w:rsidRDefault="00CC46B2" w:rsidP="00FC7402">
      <w:pPr>
        <w:pStyle w:val="-"/>
        <w:spacing w:before="108" w:after="108"/>
        <w:ind w:firstLine="520"/>
      </w:pPr>
      <w:r>
        <w:rPr>
          <w:rFonts w:hint="eastAsia"/>
        </w:rPr>
        <w:t>「中」巴</w:t>
      </w:r>
      <w:r w:rsidR="00DB0C74" w:rsidRPr="00E066CE">
        <w:rPr>
          <w:rFonts w:hint="eastAsia"/>
        </w:rPr>
        <w:t>經濟走廊</w:t>
      </w:r>
      <w:r w:rsidR="00DB0C74" w:rsidRPr="00FD5F24">
        <w:rPr>
          <w:rFonts w:hint="eastAsia"/>
        </w:rPr>
        <w:t>是指連接中國大陸西部和貫穿巴基斯坦南北的公路和鐵路主幹道，北起新疆喀什南至巴基斯坦西南港口城市瓜達爾港（圖</w:t>
      </w:r>
      <w:r w:rsidR="00DB0C74" w:rsidRPr="00FD5F24">
        <w:t>4-</w:t>
      </w:r>
      <w:r w:rsidR="00DB0C74">
        <w:t>4</w:t>
      </w:r>
      <w:r w:rsidR="00DB0C74" w:rsidRPr="00FD5F24">
        <w:rPr>
          <w:rFonts w:hint="eastAsia"/>
        </w:rPr>
        <w:t>）。</w:t>
      </w:r>
      <w:r w:rsidR="00DB0C74" w:rsidRPr="00FD5F24">
        <w:t>2013</w:t>
      </w:r>
      <w:r w:rsidR="00DB0C74" w:rsidRPr="00FD5F24">
        <w:rPr>
          <w:rFonts w:hint="eastAsia"/>
        </w:rPr>
        <w:t>年</w:t>
      </w:r>
      <w:r w:rsidR="00DB0C74" w:rsidRPr="00FD5F24">
        <w:t>5</w:t>
      </w:r>
      <w:r w:rsidR="00DB0C74" w:rsidRPr="00FD5F24">
        <w:rPr>
          <w:rFonts w:hint="eastAsia"/>
        </w:rPr>
        <w:t>月兩國雙方簽屬《關於開展</w:t>
      </w:r>
      <w:r>
        <w:rPr>
          <w:rFonts w:hint="eastAsia"/>
        </w:rPr>
        <w:t>中巴</w:t>
      </w:r>
      <w:r w:rsidR="00DB0C74" w:rsidRPr="00FD5F24">
        <w:rPr>
          <w:rFonts w:hint="eastAsia"/>
        </w:rPr>
        <w:t>經濟走廊遠景規劃合作的諒解備忘錄》，除了交通建設外，還要沿線展開基礎設施、能源資源、農業水利、資通訊等多項領域合作項目，並規劃成立多個工業園區和自貿區。未來計畫建設公路、鐵路、油氣管道和光纜「四位一體」的通道。</w:t>
      </w:r>
    </w:p>
    <w:p w:rsidR="00FC7402" w:rsidRPr="004263FE" w:rsidRDefault="00796180" w:rsidP="00FC7402">
      <w:pPr>
        <w:widowControl/>
        <w:jc w:val="center"/>
        <w:rPr>
          <w:rFonts w:ascii="標楷體" w:hAnsi="標楷體"/>
          <w:spacing w:val="10"/>
          <w:sz w:val="28"/>
          <w:szCs w:val="28"/>
        </w:rPr>
      </w:pPr>
      <w:r>
        <w:rPr>
          <w:noProof/>
          <w:spacing w:val="10"/>
          <w:sz w:val="28"/>
          <w:szCs w:val="28"/>
        </w:rPr>
        <w:lastRenderedPageBreak/>
        <w:drawing>
          <wp:inline distT="0" distB="0" distL="0" distR="0">
            <wp:extent cx="3739515" cy="2688590"/>
            <wp:effectExtent l="0" t="0" r="0" b="0"/>
            <wp:docPr id="15" name="圖片 8" descr="http://image.wenweipo.com/2013/07/04/ch070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http://image.wenweipo.com/2013/07/04/ch0704b2.jpg"/>
                    <pic:cNvPicPr>
                      <a:picLocks noChangeAspect="1" noChangeArrowheads="1"/>
                    </pic:cNvPicPr>
                  </pic:nvPicPr>
                  <pic:blipFill>
                    <a:blip r:embed="rId30">
                      <a:extLst>
                        <a:ext uri="{28A0092B-C50C-407E-A947-70E740481C1C}">
                          <a14:useLocalDpi xmlns:a14="http://schemas.microsoft.com/office/drawing/2010/main" val="0"/>
                        </a:ext>
                      </a:extLst>
                    </a:blip>
                    <a:srcRect l="1529" t="14651" r="2135" b="2563"/>
                    <a:stretch>
                      <a:fillRect/>
                    </a:stretch>
                  </pic:blipFill>
                  <pic:spPr bwMode="auto">
                    <a:xfrm>
                      <a:off x="0" y="0"/>
                      <a:ext cx="3739515" cy="2688590"/>
                    </a:xfrm>
                    <a:prstGeom prst="rect">
                      <a:avLst/>
                    </a:prstGeom>
                    <a:noFill/>
                    <a:ln>
                      <a:noFill/>
                    </a:ln>
                  </pic:spPr>
                </pic:pic>
              </a:graphicData>
            </a:graphic>
          </wp:inline>
        </w:drawing>
      </w:r>
    </w:p>
    <w:p w:rsidR="00FC7402" w:rsidRPr="00B0298C" w:rsidRDefault="00DB0C74" w:rsidP="00FC7402">
      <w:pPr>
        <w:pStyle w:val="a9"/>
        <w:ind w:firstLineChars="567" w:firstLine="1134"/>
        <w:rPr>
          <w:lang w:val="en-US" w:eastAsia="zh-TW"/>
        </w:rPr>
      </w:pPr>
      <w:r w:rsidRPr="00B0298C">
        <w:rPr>
          <w:rFonts w:hint="eastAsia"/>
          <w:lang w:val="en-US" w:eastAsia="zh-TW"/>
        </w:rPr>
        <w:t>資料來源：香港文匯報，</w:t>
      </w:r>
      <w:r w:rsidRPr="00B0298C">
        <w:rPr>
          <w:lang w:val="en-US" w:eastAsia="zh-TW"/>
        </w:rPr>
        <w:t>2013</w:t>
      </w:r>
      <w:r w:rsidRPr="00B0298C">
        <w:rPr>
          <w:rFonts w:hint="eastAsia"/>
          <w:lang w:val="en-US" w:eastAsia="zh-TW"/>
        </w:rPr>
        <w:t>年</w:t>
      </w:r>
      <w:r w:rsidRPr="00B0298C">
        <w:rPr>
          <w:lang w:val="en-US" w:eastAsia="zh-TW"/>
        </w:rPr>
        <w:t>7</w:t>
      </w:r>
      <w:r w:rsidRPr="00B0298C">
        <w:rPr>
          <w:rFonts w:hint="eastAsia"/>
          <w:lang w:val="en-US" w:eastAsia="zh-TW"/>
        </w:rPr>
        <w:t>月</w:t>
      </w:r>
      <w:r w:rsidRPr="00B0298C">
        <w:rPr>
          <w:lang w:val="en-US" w:eastAsia="zh-TW"/>
        </w:rPr>
        <w:t>4</w:t>
      </w:r>
      <w:r w:rsidRPr="00B0298C">
        <w:rPr>
          <w:rFonts w:hint="eastAsia"/>
          <w:lang w:val="en-US" w:eastAsia="zh-TW"/>
        </w:rPr>
        <w:t>日。</w:t>
      </w:r>
    </w:p>
    <w:p w:rsidR="00FC7402" w:rsidRPr="00FD5F24" w:rsidRDefault="00DB0C74" w:rsidP="00FC7402">
      <w:pPr>
        <w:pStyle w:val="af0"/>
      </w:pPr>
      <w:bookmarkStart w:id="53" w:name="_Toc405462634"/>
      <w:r w:rsidRPr="00FD5F24">
        <w:rPr>
          <w:rFonts w:hint="eastAsia"/>
        </w:rPr>
        <w:t>圖</w:t>
      </w:r>
      <w:r w:rsidRPr="00FD5F24">
        <w:t>4-</w:t>
      </w:r>
      <w:r>
        <w:t>4</w:t>
      </w:r>
      <w:r>
        <w:rPr>
          <w:rFonts w:hint="eastAsia"/>
        </w:rPr>
        <w:t xml:space="preserve">　</w:t>
      </w:r>
      <w:r w:rsidR="00CC46B2">
        <w:rPr>
          <w:rFonts w:hint="eastAsia"/>
        </w:rPr>
        <w:t>「中」巴</w:t>
      </w:r>
      <w:r w:rsidRPr="00FD5F24">
        <w:rPr>
          <w:rFonts w:hint="eastAsia"/>
        </w:rPr>
        <w:t>經濟走廊示意圖</w:t>
      </w:r>
      <w:bookmarkEnd w:id="53"/>
    </w:p>
    <w:p w:rsidR="00FC7402" w:rsidRDefault="00DB0C74" w:rsidP="00FC7402">
      <w:pPr>
        <w:pStyle w:val="-"/>
        <w:spacing w:before="108" w:after="108"/>
        <w:ind w:firstLine="520"/>
      </w:pPr>
      <w:r>
        <w:rPr>
          <w:rFonts w:hint="eastAsia"/>
        </w:rPr>
        <w:t>對</w:t>
      </w:r>
      <w:r w:rsidR="00CC46B2">
        <w:rPr>
          <w:rFonts w:hint="eastAsia"/>
        </w:rPr>
        <w:t>「中」巴</w:t>
      </w:r>
      <w:r>
        <w:rPr>
          <w:rFonts w:hint="eastAsia"/>
        </w:rPr>
        <w:t>雙方而言，經濟走廊的建設能夠擴大兩國貨品進出口與轉口貿易，以及人員往來便利。對中國大陸而言，增加能源進口管道，讓其繞過麻六甲海峽和南海主權問題，直接將中東石油運到西南部，也可分散對</w:t>
      </w:r>
      <w:r w:rsidR="00CC46B2">
        <w:rPr>
          <w:rFonts w:hint="eastAsia"/>
        </w:rPr>
        <w:t>「中」緬</w:t>
      </w:r>
      <w:r>
        <w:rPr>
          <w:rFonts w:hint="eastAsia"/>
        </w:rPr>
        <w:t>油氣管道的依賴。此外，還可引導陸企走出去，擴展新興市場。對巴基斯坦而言，透過經濟走廊的建設引入投資帶動產業發展，並強化本身的歐亞非樞紐地位。</w:t>
      </w:r>
    </w:p>
    <w:p w:rsidR="00FC7402" w:rsidRPr="00FD5F24" w:rsidRDefault="00DB0C74" w:rsidP="00FC7402">
      <w:pPr>
        <w:pStyle w:val="-"/>
        <w:spacing w:before="108" w:after="108"/>
        <w:ind w:firstLine="520"/>
      </w:pPr>
      <w:r>
        <w:rPr>
          <w:rFonts w:hint="eastAsia"/>
        </w:rPr>
        <w:t>根據上述來看，</w:t>
      </w:r>
      <w:r w:rsidR="00CC46B2">
        <w:rPr>
          <w:rFonts w:hint="eastAsia"/>
        </w:rPr>
        <w:t>孟「中」印緬</w:t>
      </w:r>
      <w:r>
        <w:rPr>
          <w:rFonts w:hint="eastAsia"/>
        </w:rPr>
        <w:t>和</w:t>
      </w:r>
      <w:r w:rsidR="00CC46B2">
        <w:rPr>
          <w:rFonts w:hint="eastAsia"/>
        </w:rPr>
        <w:t>「中」巴</w:t>
      </w:r>
      <w:r>
        <w:rPr>
          <w:rFonts w:hint="eastAsia"/>
        </w:rPr>
        <w:t>經濟走廊對於海陸絲綢之路有相當重要的意涵，中國大陸若能處理好與次區域各國間的關係，將會大幅減少推動「一帶一路」的阻礙，尤其是與印度之間的角力關係到</w:t>
      </w:r>
      <w:r>
        <w:t>21</w:t>
      </w:r>
      <w:r>
        <w:rPr>
          <w:rFonts w:hint="eastAsia"/>
        </w:rPr>
        <w:t>世紀海上絲綢之路的進程。</w:t>
      </w:r>
    </w:p>
    <w:p w:rsidR="00FC7402" w:rsidRPr="00136805" w:rsidRDefault="00DB0C74" w:rsidP="00FC7402">
      <w:pPr>
        <w:pStyle w:val="3"/>
        <w:spacing w:beforeLines="100" w:before="360" w:after="72"/>
        <w:rPr>
          <w:rFonts w:ascii="Times New Roman" w:hAnsi="Times New Roman"/>
        </w:rPr>
      </w:pPr>
      <w:r w:rsidRPr="00FF2717">
        <w:rPr>
          <w:rFonts w:ascii="Times New Roman" w:hAnsi="Times New Roman" w:hint="eastAsia"/>
        </w:rPr>
        <w:t>肆、絲綢之路戰略分析及對我之意涵</w:t>
      </w:r>
    </w:p>
    <w:p w:rsidR="00FC7402" w:rsidRDefault="00DB0C74" w:rsidP="00FC7402">
      <w:pPr>
        <w:pStyle w:val="-"/>
        <w:spacing w:before="108" w:after="108"/>
        <w:ind w:firstLine="520"/>
      </w:pPr>
      <w:r w:rsidRPr="00FD5F24">
        <w:rPr>
          <w:rFonts w:hint="eastAsia"/>
        </w:rPr>
        <w:t>中國大陸在「一帶一路」的國家大戰略下，也積極開展次區域合作，這是未來一兩年習李對外經貿戰略相當重要的政策關注點。中國大陸逐漸</w:t>
      </w:r>
      <w:r w:rsidRPr="00BF4BAF">
        <w:rPr>
          <w:rFonts w:hint="eastAsia"/>
        </w:rPr>
        <w:t>從</w:t>
      </w:r>
      <w:r>
        <w:rPr>
          <w:rFonts w:hint="eastAsia"/>
        </w:rPr>
        <w:t>「</w:t>
      </w:r>
      <w:r w:rsidRPr="00BF4BAF">
        <w:rPr>
          <w:rFonts w:hint="eastAsia"/>
        </w:rPr>
        <w:t>單向戰略轉變為共建思維</w:t>
      </w:r>
      <w:r>
        <w:rPr>
          <w:rFonts w:hint="eastAsia"/>
        </w:rPr>
        <w:t>」</w:t>
      </w:r>
      <w:r w:rsidRPr="00FD5F24">
        <w:rPr>
          <w:rFonts w:hint="eastAsia"/>
        </w:rPr>
        <w:t>，過去中國大陸經貿政策著重在怎麼引進</w:t>
      </w:r>
      <w:r w:rsidRPr="00FD5F24">
        <w:rPr>
          <w:rFonts w:hint="eastAsia"/>
        </w:rPr>
        <w:lastRenderedPageBreak/>
        <w:t>來和走出去，如何利用別人的市場等，所有戰略都以自我為中心的單向思維。在習近平提出「中國夢」後，開始以建立新的大國形象為主軸，除了爭取海外資源、市場和投資之外，更重要的是改善與周邊國家的關係，以大國姿態扶助相對落後國家，與發展水準相當國家共同發展，成為主導區域經濟合作的龍頭。在工作項目方面，除了傳統的基礎建設外，還要建立互補性產業，來連結和穩定區域發展。</w:t>
      </w:r>
      <w:r>
        <w:rPr>
          <w:rFonts w:hint="eastAsia"/>
        </w:rPr>
        <w:t>此外，「</w:t>
      </w:r>
      <w:r w:rsidRPr="00BF4BAF">
        <w:rPr>
          <w:rFonts w:hint="eastAsia"/>
        </w:rPr>
        <w:t>一帶一路</w:t>
      </w:r>
      <w:r>
        <w:rPr>
          <w:rFonts w:hint="eastAsia"/>
        </w:rPr>
        <w:t>」概念下涵蓋之國家區域，有許多</w:t>
      </w:r>
      <w:r w:rsidRPr="00BF4BAF">
        <w:rPr>
          <w:rFonts w:hint="eastAsia"/>
        </w:rPr>
        <w:t>處於</w:t>
      </w:r>
      <w:r>
        <w:rPr>
          <w:rFonts w:hint="eastAsia"/>
        </w:rPr>
        <w:t>經濟發展初期與中期階段</w:t>
      </w:r>
      <w:r w:rsidRPr="00BF4BAF">
        <w:rPr>
          <w:rFonts w:hint="eastAsia"/>
        </w:rPr>
        <w:t>的新興市場與發展中國家，</w:t>
      </w:r>
      <w:r>
        <w:rPr>
          <w:rFonts w:hint="eastAsia"/>
        </w:rPr>
        <w:t>未來之發展潛力空間更甚於歐美</w:t>
      </w:r>
      <w:r w:rsidRPr="00BF4BAF">
        <w:rPr>
          <w:rFonts w:hint="eastAsia"/>
        </w:rPr>
        <w:t>。</w:t>
      </w:r>
    </w:p>
    <w:p w:rsidR="00FC7402" w:rsidRDefault="00DB0C74" w:rsidP="00322FF7">
      <w:pPr>
        <w:pStyle w:val="-"/>
        <w:spacing w:before="108" w:after="108"/>
        <w:ind w:firstLine="520"/>
      </w:pPr>
      <w:r w:rsidRPr="00322FF7">
        <w:rPr>
          <w:rFonts w:hint="eastAsia"/>
        </w:rPr>
        <w:t>擴大到區域政治層面，該區域已有上海合作組織、歐亞經濟共同體、歐盟夥伴與合作計畫等多個國際經濟組織，其中有許多高度重複之組織成員國，而過去此區在歷史上曾因絲綢之路而彼此有過緊密之經濟貿易關係。因此，中國大陸提出「絲綢之路經濟帶」概念就是希望以己為整合者來重新整合區域合作，進一步發揮在區域與世界政經場域的影響力，盼將</w:t>
      </w:r>
      <w:r w:rsidRPr="00322FF7">
        <w:t>”</w:t>
      </w:r>
      <w:r w:rsidRPr="00322FF7">
        <w:rPr>
          <w:rFonts w:hint="eastAsia"/>
        </w:rPr>
        <w:t>中國威脅</w:t>
      </w:r>
      <w:r w:rsidRPr="00322FF7">
        <w:t>”</w:t>
      </w:r>
      <w:r w:rsidRPr="00322FF7">
        <w:rPr>
          <w:rFonts w:hint="eastAsia"/>
        </w:rPr>
        <w:t>概念轉變為</w:t>
      </w:r>
      <w:r w:rsidRPr="00322FF7">
        <w:t>”</w:t>
      </w:r>
      <w:r w:rsidRPr="00322FF7">
        <w:rPr>
          <w:rFonts w:hint="eastAsia"/>
        </w:rPr>
        <w:t>絲路機遇</w:t>
      </w:r>
      <w:r w:rsidRPr="00322FF7">
        <w:t>”</w:t>
      </w:r>
      <w:r w:rsidRPr="00322FF7">
        <w:rPr>
          <w:rFonts w:hint="eastAsia"/>
        </w:rPr>
        <w:t>。此外，中國大陸與俄羅斯亦將有機會借此降低相互競爭轉向更多合作。</w:t>
      </w:r>
    </w:p>
    <w:p w:rsidR="00FC7402" w:rsidRDefault="00DB0C74" w:rsidP="00FC7402">
      <w:pPr>
        <w:pStyle w:val="-"/>
        <w:spacing w:before="108" w:after="108"/>
        <w:ind w:firstLine="520"/>
      </w:pPr>
      <w:r>
        <w:rPr>
          <w:rFonts w:hint="eastAsia"/>
        </w:rPr>
        <w:t>其次，</w:t>
      </w:r>
      <w:r w:rsidRPr="00372B73">
        <w:rPr>
          <w:rFonts w:hint="eastAsia"/>
        </w:rPr>
        <w:t>以絲綢之路經</w:t>
      </w:r>
      <w:r w:rsidR="00322FF7">
        <w:rPr>
          <w:rFonts w:hint="eastAsia"/>
        </w:rPr>
        <w:t>濟帶而言，除了其對外在國際區域上的重要意涵外，其實也包含了對內</w:t>
      </w:r>
      <w:r w:rsidRPr="00372B73">
        <w:rPr>
          <w:rFonts w:hint="eastAsia"/>
        </w:rPr>
        <w:t>中西部區域發展的考量。我們可以看到關於絲綢之路，</w:t>
      </w:r>
      <w:r>
        <w:rPr>
          <w:rFonts w:hint="eastAsia"/>
        </w:rPr>
        <w:t>各地方，尤其是</w:t>
      </w:r>
      <w:r w:rsidRPr="00372B73">
        <w:rPr>
          <w:rFonts w:hint="eastAsia"/>
        </w:rPr>
        <w:t>西部</w:t>
      </w:r>
      <w:r w:rsidR="00322FF7" w:rsidRPr="00221F5B">
        <w:rPr>
          <w:rFonts w:hint="eastAsia"/>
        </w:rPr>
        <w:t>省份</w:t>
      </w:r>
      <w:r>
        <w:rPr>
          <w:rFonts w:hint="eastAsia"/>
        </w:rPr>
        <w:t>，</w:t>
      </w:r>
      <w:r w:rsidRPr="00372B73">
        <w:rPr>
          <w:rFonts w:hint="eastAsia"/>
        </w:rPr>
        <w:t>甚至比中央更積極於規劃、辦</w:t>
      </w:r>
      <w:r>
        <w:rPr>
          <w:rFonts w:hint="eastAsia"/>
        </w:rPr>
        <w:t>國內與國際性的</w:t>
      </w:r>
      <w:r w:rsidRPr="00372B73">
        <w:rPr>
          <w:rFonts w:hint="eastAsia"/>
        </w:rPr>
        <w:t>活動、會議</w:t>
      </w:r>
      <w:r>
        <w:rPr>
          <w:rFonts w:hint="eastAsia"/>
        </w:rPr>
        <w:t>與論壇</w:t>
      </w:r>
      <w:r w:rsidRPr="00372B73">
        <w:rPr>
          <w:rFonts w:hint="eastAsia"/>
        </w:rPr>
        <w:t>等，次區域的合作動機被</w:t>
      </w:r>
      <w:r>
        <w:rPr>
          <w:rFonts w:hint="eastAsia"/>
        </w:rPr>
        <w:t>大幅</w:t>
      </w:r>
      <w:r w:rsidRPr="00372B73">
        <w:rPr>
          <w:rFonts w:hint="eastAsia"/>
        </w:rPr>
        <w:t>激發出來。對於中央來說，西部地區的經濟發展將能提升政治穩定度，所以此一構想事實上是整合了內外、經濟政治以及區域發展等各項想法在</w:t>
      </w:r>
      <w:r>
        <w:rPr>
          <w:rFonts w:hint="eastAsia"/>
        </w:rPr>
        <w:t>其中</w:t>
      </w:r>
      <w:r w:rsidRPr="00372B73">
        <w:rPr>
          <w:rFonts w:hint="eastAsia"/>
        </w:rPr>
        <w:t>。</w:t>
      </w:r>
      <w:r>
        <w:rPr>
          <w:rFonts w:hint="eastAsia"/>
        </w:rPr>
        <w:t>（根據本研究之專家訪談內容）</w:t>
      </w:r>
    </w:p>
    <w:p w:rsidR="00FC7402" w:rsidRDefault="00DB0C74" w:rsidP="00FC7402">
      <w:pPr>
        <w:pStyle w:val="-"/>
        <w:spacing w:before="108" w:after="108"/>
        <w:ind w:firstLine="520"/>
      </w:pPr>
      <w:r w:rsidRPr="00FD5F24">
        <w:rPr>
          <w:rFonts w:hint="eastAsia"/>
        </w:rPr>
        <w:t>由前面的探討，我們也可以看到相對於「海上絲綢之路」的重重困難，「絲綢之路經濟帶」將會以更快的步伐來推動，且其推動包括了內部相關區域的建設、對於其他國家基礎建設之投資等硬體的建設，更重要的是搭載於硬體之上的「軟體」，包括全面性的金融、貿易、能源、糧食等層面</w:t>
      </w:r>
      <w:r w:rsidRPr="00FD5F24">
        <w:rPr>
          <w:rFonts w:hint="eastAsia"/>
        </w:rPr>
        <w:lastRenderedPageBreak/>
        <w:t>以及各國政策制訂的合作等等。對於我國而言，要如何看待海陸絲綢之路對我國未來發展之意涵？我們認為可以從以下幾個面向來思考：首先，最為直接的就是去探討我國相關廠商參與依附在此概念下的硬體建設的可能性。由於這些以基礎設施為主的建設大多是由</w:t>
      </w:r>
      <w:r w:rsidR="00E12C08">
        <w:rPr>
          <w:rFonts w:hint="eastAsia"/>
        </w:rPr>
        <w:t>中國大陸</w:t>
      </w:r>
      <w:r w:rsidRPr="00FD5F24">
        <w:rPr>
          <w:rFonts w:hint="eastAsia"/>
        </w:rPr>
        <w:t>國家主導的，且中國大陸想藉此輸出其技術，我國在此領域</w:t>
      </w:r>
      <w:r>
        <w:rPr>
          <w:rFonts w:hint="eastAsia"/>
        </w:rPr>
        <w:t>並不具備較全面</w:t>
      </w:r>
      <w:r w:rsidRPr="00FD5F24">
        <w:rPr>
          <w:rFonts w:hint="eastAsia"/>
        </w:rPr>
        <w:t>之國際競爭力，</w:t>
      </w:r>
      <w:r>
        <w:rPr>
          <w:rFonts w:hint="eastAsia"/>
        </w:rPr>
        <w:t>但或許在部分營造、機電或資訊設備領域，可以進一步探討是否能透過兩岸協商讓</w:t>
      </w:r>
      <w:r w:rsidR="00DE1D40">
        <w:rPr>
          <w:rFonts w:hint="eastAsia"/>
        </w:rPr>
        <w:t>臺</w:t>
      </w:r>
      <w:r>
        <w:rPr>
          <w:rFonts w:hint="eastAsia"/>
        </w:rPr>
        <w:t>商參與中國大陸主導之國際性基礎建設工程</w:t>
      </w:r>
      <w:r w:rsidRPr="00FD5F24">
        <w:rPr>
          <w:rFonts w:hint="eastAsia"/>
        </w:rPr>
        <w:t>。其次，就中國大陸內部區域發展而言，中西部的發展將受到更多對中亞、歐洲開放之影響，其特定之交通樞紐城市將可能從「向東看」轉為「向西看」，其發展速度與模式可能都會有所轉變，這對於已經在大陸深耕許久的內陸臺商而言，確實應該要非常關注，投資經營思維有機會由「開發中國</w:t>
      </w:r>
      <w:r>
        <w:rPr>
          <w:rFonts w:hint="eastAsia"/>
        </w:rPr>
        <w:t>大陸</w:t>
      </w:r>
      <w:r w:rsidRPr="00FD5F24">
        <w:rPr>
          <w:rFonts w:hint="eastAsia"/>
        </w:rPr>
        <w:t>內需」再加上「開拓中、西、南亞以及歐洲國際市場」之概念，甚至可以結合</w:t>
      </w:r>
      <w:r>
        <w:rPr>
          <w:rFonts w:hint="eastAsia"/>
        </w:rPr>
        <w:t>其</w:t>
      </w:r>
      <w:r w:rsidRPr="00FD5F24">
        <w:rPr>
          <w:rFonts w:hint="eastAsia"/>
        </w:rPr>
        <w:t>力量一起耕耘國際商機。其三，就宏觀層面，歐洲大陸與中國大陸關係將更緊密</w:t>
      </w:r>
      <w:r w:rsidR="001E770E">
        <w:rPr>
          <w:rFonts w:hint="eastAsia"/>
        </w:rPr>
        <w:t>、中國大陸對於中亞、南亞、西亞與東南亞的亞洲國家將發揮更大影響力</w:t>
      </w:r>
      <w:r w:rsidRPr="00FD5F24">
        <w:rPr>
          <w:rFonts w:hint="eastAsia"/>
        </w:rPr>
        <w:t>，</w:t>
      </w:r>
      <w:r w:rsidR="003C4049">
        <w:rPr>
          <w:rFonts w:hint="eastAsia"/>
        </w:rPr>
        <w:t>AIIB</w:t>
      </w:r>
      <w:r w:rsidR="003C4049">
        <w:rPr>
          <w:rFonts w:hint="eastAsia"/>
        </w:rPr>
        <w:t>與絲路基金即是可能平臺與路徑之二，面對這些新的國際區域關係變化，</w:t>
      </w:r>
      <w:r w:rsidRPr="00FD5F24">
        <w:rPr>
          <w:rFonts w:hint="eastAsia"/>
        </w:rPr>
        <w:t>我國如何</w:t>
      </w:r>
      <w:r w:rsidR="003C4049">
        <w:rPr>
          <w:rFonts w:hint="eastAsia"/>
        </w:rPr>
        <w:t>綜合思考自己在其中的定位以及如何處理兩岸在新的國際格局中的政治與經濟關係</w:t>
      </w:r>
      <w:r w:rsidRPr="00FD5F24">
        <w:rPr>
          <w:rFonts w:hint="eastAsia"/>
        </w:rPr>
        <w:t>，在長遠未來可能發生的歐亞大發展當中，取得一定的發展空間甚至影響力，有賴</w:t>
      </w:r>
      <w:r w:rsidR="003C4049">
        <w:rPr>
          <w:rFonts w:hint="eastAsia"/>
        </w:rPr>
        <w:t>各</w:t>
      </w:r>
      <w:r w:rsidRPr="00FD5F24">
        <w:rPr>
          <w:rFonts w:hint="eastAsia"/>
        </w:rPr>
        <w:t>界進一步深思</w:t>
      </w:r>
      <w:r>
        <w:rPr>
          <w:rFonts w:hint="eastAsia"/>
        </w:rPr>
        <w:t>與</w:t>
      </w:r>
      <w:r w:rsidR="003C4049">
        <w:rPr>
          <w:rFonts w:hint="eastAsia"/>
        </w:rPr>
        <w:t>探討，政府宜及早投入研究。</w:t>
      </w:r>
    </w:p>
    <w:p w:rsidR="00FC7402" w:rsidRDefault="00DB0C74" w:rsidP="00FC7402">
      <w:pPr>
        <w:pStyle w:val="-"/>
        <w:spacing w:before="108" w:after="108"/>
        <w:ind w:firstLine="520"/>
      </w:pPr>
      <w:r>
        <w:rPr>
          <w:rFonts w:hint="eastAsia"/>
        </w:rPr>
        <w:t>事</w:t>
      </w:r>
      <w:r w:rsidR="00322FF7">
        <w:rPr>
          <w:rFonts w:hint="eastAsia"/>
        </w:rPr>
        <w:t>實</w:t>
      </w:r>
      <w:r>
        <w:rPr>
          <w:rFonts w:hint="eastAsia"/>
        </w:rPr>
        <w:t>上自絲綢之路戰略提出後，一方面也是因為中國大陸中央持續推動中西部地區的發展，</w:t>
      </w:r>
      <w:r w:rsidR="00DE1D40">
        <w:rPr>
          <w:rFonts w:hint="eastAsia"/>
        </w:rPr>
        <w:t>臺</w:t>
      </w:r>
      <w:r>
        <w:rPr>
          <w:rFonts w:hint="eastAsia"/>
        </w:rPr>
        <w:t>商對於絲綢之路沿線地帶的興趣提升了不少：例如</w:t>
      </w:r>
      <w:r w:rsidR="00DE1D40">
        <w:rPr>
          <w:rFonts w:hint="eastAsia"/>
        </w:rPr>
        <w:t>臺</w:t>
      </w:r>
      <w:r>
        <w:rPr>
          <w:rFonts w:hint="eastAsia"/>
        </w:rPr>
        <w:t>商組團赴敦煌</w:t>
      </w:r>
      <w:r w:rsidR="00FC7402">
        <w:rPr>
          <w:rStyle w:val="aff0"/>
        </w:rPr>
        <w:footnoteReference w:id="23"/>
      </w:r>
      <w:r>
        <w:rPr>
          <w:rFonts w:hint="eastAsia"/>
        </w:rPr>
        <w:t>、蘭州</w:t>
      </w:r>
      <w:r w:rsidR="00FC7402">
        <w:rPr>
          <w:rStyle w:val="aff0"/>
        </w:rPr>
        <w:footnoteReference w:id="24"/>
      </w:r>
      <w:r>
        <w:rPr>
          <w:rFonts w:hint="eastAsia"/>
        </w:rPr>
        <w:t>等偏遠的西部地區考察，絲綢之路經濟帶的重鎮西安在</w:t>
      </w:r>
      <w:r w:rsidRPr="008955E7">
        <w:rPr>
          <w:rFonts w:hint="eastAsia"/>
        </w:rPr>
        <w:t>電電公會</w:t>
      </w:r>
      <w:r w:rsidR="007B11B8">
        <w:rPr>
          <w:rFonts w:hint="eastAsia"/>
        </w:rPr>
        <w:t>公布</w:t>
      </w:r>
      <w:r>
        <w:rPr>
          <w:rFonts w:hint="eastAsia"/>
        </w:rPr>
        <w:t>之</w:t>
      </w:r>
      <w:r w:rsidRPr="008955E7">
        <w:rPr>
          <w:rFonts w:hint="eastAsia"/>
        </w:rPr>
        <w:t>「</w:t>
      </w:r>
      <w:r w:rsidRPr="008955E7">
        <w:t>2014</w:t>
      </w:r>
      <w:r w:rsidRPr="008955E7">
        <w:rPr>
          <w:rFonts w:hint="eastAsia"/>
        </w:rPr>
        <w:t>年中國大陸地區投資環境與風險調查」</w:t>
      </w:r>
      <w:r>
        <w:rPr>
          <w:rFonts w:hint="eastAsia"/>
        </w:rPr>
        <w:t>中排名上升</w:t>
      </w:r>
      <w:r w:rsidR="00FC7402">
        <w:rPr>
          <w:rStyle w:val="aff0"/>
        </w:rPr>
        <w:footnoteReference w:id="25"/>
      </w:r>
      <w:r>
        <w:rPr>
          <w:rFonts w:hint="eastAsia"/>
        </w:rPr>
        <w:t>，以及東莞</w:t>
      </w:r>
      <w:r w:rsidR="00DE1D40">
        <w:rPr>
          <w:rFonts w:hint="eastAsia"/>
        </w:rPr>
        <w:t>臺</w:t>
      </w:r>
      <w:r>
        <w:rPr>
          <w:rFonts w:hint="eastAsia"/>
        </w:rPr>
        <w:t>商共組之集體通路大麥客近來除了</w:t>
      </w:r>
      <w:r w:rsidRPr="00FA1A57">
        <w:rPr>
          <w:rFonts w:hint="eastAsia"/>
        </w:rPr>
        <w:t>在</w:t>
      </w:r>
      <w:r>
        <w:rPr>
          <w:rFonts w:hint="eastAsia"/>
        </w:rPr>
        <w:t>黑龍江省的</w:t>
      </w:r>
      <w:r>
        <w:rPr>
          <w:rFonts w:hint="eastAsia"/>
        </w:rPr>
        <w:lastRenderedPageBreak/>
        <w:t>綏芬設立小型</w:t>
      </w:r>
      <w:r w:rsidRPr="00FA1A57">
        <w:rPr>
          <w:rFonts w:hint="eastAsia"/>
        </w:rPr>
        <w:t>展示場</w:t>
      </w:r>
      <w:r>
        <w:rPr>
          <w:rFonts w:hint="eastAsia"/>
        </w:rPr>
        <w:t>之外</w:t>
      </w:r>
      <w:r w:rsidRPr="00FA1A57">
        <w:rPr>
          <w:rFonts w:hint="eastAsia"/>
        </w:rPr>
        <w:t>，</w:t>
      </w:r>
      <w:r>
        <w:rPr>
          <w:rFonts w:hint="eastAsia"/>
        </w:rPr>
        <w:t>未來考慮到</w:t>
      </w:r>
      <w:r w:rsidRPr="00FA1A57">
        <w:rPr>
          <w:rFonts w:hint="eastAsia"/>
        </w:rPr>
        <w:t>新疆、蒙古等地</w:t>
      </w:r>
      <w:r>
        <w:rPr>
          <w:rFonts w:hint="eastAsia"/>
        </w:rPr>
        <w:t>去</w:t>
      </w:r>
      <w:r w:rsidRPr="00FA1A57">
        <w:rPr>
          <w:rFonts w:hint="eastAsia"/>
        </w:rPr>
        <w:t>推廣</w:t>
      </w:r>
      <w:r w:rsidR="00196463">
        <w:rPr>
          <w:rStyle w:val="aff0"/>
        </w:rPr>
        <w:footnoteReference w:id="26"/>
      </w:r>
      <w:r>
        <w:rPr>
          <w:rFonts w:hint="eastAsia"/>
        </w:rPr>
        <w:t>。</w:t>
      </w:r>
    </w:p>
    <w:p w:rsidR="00FC7402" w:rsidRDefault="00DB0C74" w:rsidP="00FC7402">
      <w:pPr>
        <w:pStyle w:val="-"/>
        <w:spacing w:before="108" w:after="108"/>
        <w:ind w:firstLine="520"/>
      </w:pPr>
      <w:r>
        <w:rPr>
          <w:rFonts w:hint="eastAsia"/>
        </w:rPr>
        <w:t>由於中國大陸</w:t>
      </w:r>
      <w:r w:rsidRPr="00FD5F24">
        <w:rPr>
          <w:rFonts w:hint="eastAsia"/>
        </w:rPr>
        <w:t>絲綢之路</w:t>
      </w:r>
      <w:r>
        <w:rPr>
          <w:rFonts w:hint="eastAsia"/>
        </w:rPr>
        <w:t>是長期的國家對外戰略，其初期主要之直接機會仍在基礎設施方面，且其將涵蓋從中央到地方政府、從中國大陸境內到相關國家的建設；因此，中國大陸的政府採購成為外界能否參與這些機會的重要關鍵。以下將扼要檢視中國大陸在政府採購方面的現況。</w:t>
      </w:r>
    </w:p>
    <w:p w:rsidR="00FC7402" w:rsidRDefault="00DB0C74" w:rsidP="00FC7402">
      <w:pPr>
        <w:pStyle w:val="-"/>
        <w:spacing w:before="108" w:after="108"/>
        <w:ind w:firstLine="520"/>
      </w:pPr>
      <w:r>
        <w:rPr>
          <w:rFonts w:hint="eastAsia"/>
        </w:rPr>
        <w:t>中國大陸自</w:t>
      </w:r>
      <w:r>
        <w:t>2002</w:t>
      </w:r>
      <w:r>
        <w:rPr>
          <w:rFonts w:hint="eastAsia"/>
        </w:rPr>
        <w:t>年實施《</w:t>
      </w:r>
      <w:r w:rsidRPr="00C442B6">
        <w:rPr>
          <w:rFonts w:hint="eastAsia"/>
        </w:rPr>
        <w:t>政府採購法</w:t>
      </w:r>
      <w:r>
        <w:rPr>
          <w:rFonts w:hint="eastAsia"/>
        </w:rPr>
        <w:t>》以來，確實達到了初步之成效如：更</w:t>
      </w:r>
      <w:r w:rsidRPr="00C442B6">
        <w:rPr>
          <w:rFonts w:hint="eastAsia"/>
        </w:rPr>
        <w:t>多政府採購資金納入監管範圍</w:t>
      </w:r>
      <w:r>
        <w:rPr>
          <w:rFonts w:hint="eastAsia"/>
        </w:rPr>
        <w:t>、</w:t>
      </w:r>
      <w:r w:rsidRPr="00C442B6">
        <w:rPr>
          <w:rFonts w:hint="eastAsia"/>
        </w:rPr>
        <w:t>初步形成以政府採購法為核心的政府採購法律法規</w:t>
      </w:r>
      <w:r>
        <w:rPr>
          <w:rFonts w:hint="eastAsia"/>
        </w:rPr>
        <w:t>及</w:t>
      </w:r>
      <w:r w:rsidRPr="00C442B6">
        <w:rPr>
          <w:rFonts w:hint="eastAsia"/>
        </w:rPr>
        <w:t>政策體系</w:t>
      </w:r>
      <w:r>
        <w:rPr>
          <w:rFonts w:hint="eastAsia"/>
        </w:rPr>
        <w:t>與相關</w:t>
      </w:r>
      <w:r w:rsidRPr="00C442B6">
        <w:rPr>
          <w:rFonts w:hint="eastAsia"/>
        </w:rPr>
        <w:t>管理體制</w:t>
      </w:r>
      <w:r>
        <w:rPr>
          <w:rFonts w:hint="eastAsia"/>
        </w:rPr>
        <w:t>、</w:t>
      </w:r>
      <w:r w:rsidRPr="00C442B6">
        <w:rPr>
          <w:rFonts w:hint="eastAsia"/>
        </w:rPr>
        <w:t>基本確立了公開招標採購方式的主導地位</w:t>
      </w:r>
      <w:r>
        <w:rPr>
          <w:rFonts w:hint="eastAsia"/>
        </w:rPr>
        <w:t>等</w:t>
      </w:r>
      <w:r w:rsidRPr="00C442B6">
        <w:rPr>
          <w:rFonts w:hint="eastAsia"/>
        </w:rPr>
        <w:t>。</w:t>
      </w:r>
      <w:r>
        <w:rPr>
          <w:rFonts w:hint="eastAsia"/>
        </w:rPr>
        <w:t>然而，仍存在許多亟待解決的問題，包括</w:t>
      </w:r>
      <w:r w:rsidRPr="00C442B6">
        <w:rPr>
          <w:rFonts w:hint="eastAsia"/>
        </w:rPr>
        <w:t>各地</w:t>
      </w:r>
      <w:r>
        <w:rPr>
          <w:rFonts w:hint="eastAsia"/>
        </w:rPr>
        <w:t>方政府採購</w:t>
      </w:r>
      <w:r w:rsidRPr="00C442B6">
        <w:rPr>
          <w:rFonts w:hint="eastAsia"/>
        </w:rPr>
        <w:t>架構差異大、集中採購比例高、</w:t>
      </w:r>
      <w:r>
        <w:rPr>
          <w:rFonts w:hint="eastAsia"/>
        </w:rPr>
        <w:t>其他</w:t>
      </w:r>
      <w:r w:rsidRPr="00C442B6">
        <w:rPr>
          <w:rFonts w:hint="eastAsia"/>
        </w:rPr>
        <w:t>制度體系</w:t>
      </w:r>
      <w:r>
        <w:rPr>
          <w:rFonts w:hint="eastAsia"/>
        </w:rPr>
        <w:t>無法配合公共採購體系運作等問題，造成實際採購過程中，因招標單位規定不明或因有意介入、惡意綁標等所形成之障礙甚為普遍，使得政府採購內涵有</w:t>
      </w:r>
      <w:r w:rsidRPr="00C442B6">
        <w:rPr>
          <w:rFonts w:hint="eastAsia"/>
        </w:rPr>
        <w:t>價格</w:t>
      </w:r>
      <w:r>
        <w:rPr>
          <w:rFonts w:hint="eastAsia"/>
        </w:rPr>
        <w:t>偏</w:t>
      </w:r>
      <w:r w:rsidRPr="00C442B6">
        <w:rPr>
          <w:rFonts w:hint="eastAsia"/>
        </w:rPr>
        <w:t>高、品質</w:t>
      </w:r>
      <w:r>
        <w:rPr>
          <w:rFonts w:hint="eastAsia"/>
        </w:rPr>
        <w:t>過低</w:t>
      </w:r>
      <w:r w:rsidRPr="00C442B6">
        <w:rPr>
          <w:rFonts w:hint="eastAsia"/>
        </w:rPr>
        <w:t>、隨意性</w:t>
      </w:r>
      <w:r>
        <w:rPr>
          <w:rFonts w:hint="eastAsia"/>
        </w:rPr>
        <w:t>過</w:t>
      </w:r>
      <w:r w:rsidRPr="00C442B6">
        <w:rPr>
          <w:rFonts w:hint="eastAsia"/>
        </w:rPr>
        <w:t>大等現象</w:t>
      </w:r>
      <w:r>
        <w:rPr>
          <w:rFonts w:hint="eastAsia"/>
        </w:rPr>
        <w:t>。此外，中國大陸自</w:t>
      </w:r>
      <w:r>
        <w:t>2007</w:t>
      </w:r>
      <w:r>
        <w:rPr>
          <w:rFonts w:hint="eastAsia"/>
        </w:rPr>
        <w:t>年以來，一直希望加入</w:t>
      </w:r>
      <w:r w:rsidRPr="00C442B6">
        <w:t>WTO</w:t>
      </w:r>
      <w:r>
        <w:rPr>
          <w:rFonts w:hint="eastAsia"/>
        </w:rPr>
        <w:t>的</w:t>
      </w:r>
      <w:r w:rsidRPr="00C442B6">
        <w:rPr>
          <w:rFonts w:hint="eastAsia"/>
        </w:rPr>
        <w:t>《政府採購協議》</w:t>
      </w:r>
      <w:r>
        <w:rPr>
          <w:rFonts w:hint="eastAsia"/>
        </w:rPr>
        <w:t>（</w:t>
      </w:r>
      <w:r>
        <w:t>GPA</w:t>
      </w:r>
      <w:r>
        <w:rPr>
          <w:rFonts w:hint="eastAsia"/>
        </w:rPr>
        <w:t>），目前其</w:t>
      </w:r>
      <w:r w:rsidRPr="00C442B6">
        <w:rPr>
          <w:rFonts w:hint="eastAsia"/>
        </w:rPr>
        <w:t>政府採購</w:t>
      </w:r>
      <w:r>
        <w:rPr>
          <w:rFonts w:hint="eastAsia"/>
        </w:rPr>
        <w:t>之相關</w:t>
      </w:r>
      <w:r w:rsidRPr="00C442B6">
        <w:rPr>
          <w:rFonts w:hint="eastAsia"/>
        </w:rPr>
        <w:t>法律、制度、執行和監管等方面</w:t>
      </w:r>
      <w:r>
        <w:rPr>
          <w:rFonts w:hint="eastAsia"/>
        </w:rPr>
        <w:t>仍須要許多</w:t>
      </w:r>
      <w:r w:rsidRPr="00C442B6">
        <w:rPr>
          <w:rFonts w:hint="eastAsia"/>
        </w:rPr>
        <w:t>調整。</w:t>
      </w:r>
    </w:p>
    <w:p w:rsidR="00FC7402" w:rsidRDefault="00DB0C74" w:rsidP="00FC7402">
      <w:pPr>
        <w:pStyle w:val="-"/>
        <w:spacing w:before="108" w:after="108"/>
        <w:ind w:firstLine="520"/>
      </w:pPr>
      <w:r>
        <w:rPr>
          <w:rFonts w:hint="eastAsia"/>
        </w:rPr>
        <w:t>其自</w:t>
      </w:r>
      <w:r>
        <w:t>2007</w:t>
      </w:r>
      <w:r>
        <w:rPr>
          <w:rFonts w:hint="eastAsia"/>
        </w:rPr>
        <w:t>年向</w:t>
      </w:r>
      <w:r>
        <w:t>WTO</w:t>
      </w:r>
      <w:r>
        <w:rPr>
          <w:rFonts w:hint="eastAsia"/>
        </w:rPr>
        <w:t>提交</w:t>
      </w:r>
      <w:r>
        <w:t>GPA</w:t>
      </w:r>
      <w:r>
        <w:rPr>
          <w:rFonts w:hint="eastAsia"/>
        </w:rPr>
        <w:t>之初始承諾（</w:t>
      </w:r>
      <w:r>
        <w:t>initial offer</w:t>
      </w:r>
      <w:r>
        <w:rPr>
          <w:rFonts w:hint="eastAsia"/>
        </w:rPr>
        <w:t>）以來，已分別於</w:t>
      </w:r>
      <w:r>
        <w:t>2010</w:t>
      </w:r>
      <w:r>
        <w:rPr>
          <w:rFonts w:hint="eastAsia"/>
        </w:rPr>
        <w:t>年、</w:t>
      </w:r>
      <w:r>
        <w:t>2011</w:t>
      </w:r>
      <w:r>
        <w:rPr>
          <w:rFonts w:hint="eastAsia"/>
        </w:rPr>
        <w:t>年、</w:t>
      </w:r>
      <w:r>
        <w:t>2012</w:t>
      </w:r>
      <w:r>
        <w:rPr>
          <w:rFonts w:hint="eastAsia"/>
        </w:rPr>
        <w:t>年以及</w:t>
      </w:r>
      <w:r>
        <w:t>2013</w:t>
      </w:r>
      <w:r>
        <w:rPr>
          <w:rFonts w:hint="eastAsia"/>
        </w:rPr>
        <w:t>年底提交四次修正承諾（</w:t>
      </w:r>
      <w:r>
        <w:t>revised offer</w:t>
      </w:r>
      <w:r>
        <w:rPr>
          <w:rFonts w:hint="eastAsia"/>
        </w:rPr>
        <w:t>），開放範圍從中央機關一直擴大到部分省市級機關（但主要以沿海之省份或直轄市為主），而在財物、服務與工程方面的參與門檻也不斷調降。雖然，中國大陸籍</w:t>
      </w:r>
      <w:r>
        <w:t>WTO</w:t>
      </w:r>
      <w:r>
        <w:rPr>
          <w:rFonts w:hint="eastAsia"/>
        </w:rPr>
        <w:t>副總幹事易小準於</w:t>
      </w:r>
      <w:r>
        <w:t>2014</w:t>
      </w:r>
      <w:r>
        <w:rPr>
          <w:rFonts w:hint="eastAsia"/>
        </w:rPr>
        <w:t>年</w:t>
      </w:r>
      <w:r>
        <w:t>10</w:t>
      </w:r>
      <w:r>
        <w:rPr>
          <w:rFonts w:hint="eastAsia"/>
        </w:rPr>
        <w:t>月表示中國大陸在</w:t>
      </w:r>
      <w:r>
        <w:t>1-2</w:t>
      </w:r>
      <w:r>
        <w:rPr>
          <w:rFonts w:hint="eastAsia"/>
        </w:rPr>
        <w:t>年內有望加入</w:t>
      </w:r>
      <w:r>
        <w:t>GPA</w:t>
      </w:r>
      <w:r w:rsidR="00196463">
        <w:rPr>
          <w:rStyle w:val="aff0"/>
        </w:rPr>
        <w:footnoteReference w:id="27"/>
      </w:r>
      <w:r>
        <w:rPr>
          <w:rFonts w:hint="eastAsia"/>
        </w:rPr>
        <w:t>，</w:t>
      </w:r>
      <w:r>
        <w:t xml:space="preserve"> </w:t>
      </w:r>
      <w:r>
        <w:rPr>
          <w:rFonts w:hint="eastAsia"/>
        </w:rPr>
        <w:t>但以目前之承諾來看，其仍與其他</w:t>
      </w:r>
      <w:r>
        <w:t>GPA</w:t>
      </w:r>
      <w:r>
        <w:rPr>
          <w:rFonts w:hint="eastAsia"/>
        </w:rPr>
        <w:t>成員國家之差距顯著，加上其排除國有企業以及保留許多除外空間，內部許多規範仍與</w:t>
      </w:r>
      <w:r>
        <w:t>WTO</w:t>
      </w:r>
      <w:r>
        <w:rPr>
          <w:rFonts w:hint="eastAsia"/>
        </w:rPr>
        <w:t>有差距</w:t>
      </w:r>
      <w:r w:rsidR="00196463">
        <w:rPr>
          <w:rStyle w:val="aff0"/>
        </w:rPr>
        <w:footnoteReference w:id="28"/>
      </w:r>
      <w:r>
        <w:rPr>
          <w:rFonts w:hint="eastAsia"/>
        </w:rPr>
        <w:t>，是否能很快加入還有待觀察。</w:t>
      </w:r>
      <w:r w:rsidR="00553EBA">
        <w:rPr>
          <w:rFonts w:hint="eastAsia"/>
        </w:rPr>
        <w:t>我國目前是</w:t>
      </w:r>
      <w:r w:rsidR="00553EBA">
        <w:t>42</w:t>
      </w:r>
      <w:r w:rsidR="00553EBA">
        <w:rPr>
          <w:rFonts w:hint="eastAsia"/>
        </w:rPr>
        <w:t>個</w:t>
      </w:r>
      <w:r w:rsidR="00553EBA">
        <w:lastRenderedPageBreak/>
        <w:t>WTO</w:t>
      </w:r>
      <w:r w:rsidR="00553EBA">
        <w:rPr>
          <w:rFonts w:hint="eastAsia"/>
        </w:rPr>
        <w:t>之</w:t>
      </w:r>
      <w:r w:rsidR="00553EBA">
        <w:t>GPA</w:t>
      </w:r>
      <w:r w:rsidR="00553EBA">
        <w:rPr>
          <w:rFonts w:hint="eastAsia"/>
        </w:rPr>
        <w:t>成員中的一員，一</w:t>
      </w:r>
      <w:r w:rsidR="007774FF">
        <w:rPr>
          <w:rFonts w:hint="eastAsia"/>
        </w:rPr>
        <w:t>旦</w:t>
      </w:r>
      <w:r w:rsidR="00553EBA" w:rsidRPr="00553EBA">
        <w:rPr>
          <w:rFonts w:hint="eastAsia"/>
        </w:rPr>
        <w:t>中國大陸加入</w:t>
      </w:r>
      <w:r w:rsidR="00553EBA" w:rsidRPr="00553EBA">
        <w:rPr>
          <w:rFonts w:hint="eastAsia"/>
        </w:rPr>
        <w:t>GPA</w:t>
      </w:r>
      <w:r w:rsidR="00553EBA" w:rsidRPr="00553EBA">
        <w:rPr>
          <w:rFonts w:hint="eastAsia"/>
        </w:rPr>
        <w:t>，</w:t>
      </w:r>
      <w:r w:rsidR="00553EBA">
        <w:rPr>
          <w:rFonts w:hint="eastAsia"/>
        </w:rPr>
        <w:t>我國</w:t>
      </w:r>
      <w:r w:rsidR="00553EBA" w:rsidRPr="00553EBA">
        <w:rPr>
          <w:rFonts w:hint="eastAsia"/>
        </w:rPr>
        <w:t>政府有權要求在</w:t>
      </w:r>
      <w:r w:rsidR="00553EBA" w:rsidRPr="00553EBA">
        <w:rPr>
          <w:rFonts w:hint="eastAsia"/>
        </w:rPr>
        <w:t>WTO</w:t>
      </w:r>
      <w:r w:rsidR="00553EBA" w:rsidRPr="00553EBA">
        <w:rPr>
          <w:rFonts w:hint="eastAsia"/>
        </w:rPr>
        <w:t>架構下，與中國大陸政府就相關問題展開雙邊協商。</w:t>
      </w:r>
      <w:r>
        <w:rPr>
          <w:rFonts w:hint="eastAsia"/>
        </w:rPr>
        <w:t>中國大陸為因應加入</w:t>
      </w:r>
      <w:r>
        <w:t>GPA</w:t>
      </w:r>
      <w:r>
        <w:rPr>
          <w:rFonts w:hint="eastAsia"/>
        </w:rPr>
        <w:t>而調整其國內法律規範與制度等，都有助於增加透明度與可預測性，</w:t>
      </w:r>
      <w:r w:rsidR="003C70CB">
        <w:rPr>
          <w:rFonts w:hint="eastAsia"/>
        </w:rPr>
        <w:t>提高臺</w:t>
      </w:r>
      <w:r w:rsidR="00553EBA">
        <w:rPr>
          <w:rFonts w:hint="eastAsia"/>
        </w:rPr>
        <w:t>商參與其政府採購的機會。如果此一進程不順利，為有效的趕上中國大陸實施絲綢之路戰略所帶來的先期商機，可再考慮</w:t>
      </w:r>
      <w:r>
        <w:rPr>
          <w:rFonts w:hint="eastAsia"/>
        </w:rPr>
        <w:t>在</w:t>
      </w:r>
      <w:r>
        <w:t>ECFA</w:t>
      </w:r>
      <w:r>
        <w:rPr>
          <w:rFonts w:hint="eastAsia"/>
        </w:rPr>
        <w:t>架構下</w:t>
      </w:r>
      <w:r w:rsidR="00553EBA">
        <w:rPr>
          <w:rFonts w:hint="eastAsia"/>
        </w:rPr>
        <w:t>就政府採購相關安排進行</w:t>
      </w:r>
      <w:r>
        <w:rPr>
          <w:rFonts w:hint="eastAsia"/>
        </w:rPr>
        <w:t>協商</w:t>
      </w:r>
      <w:r w:rsidR="00553EBA">
        <w:rPr>
          <w:rFonts w:hint="eastAsia"/>
        </w:rPr>
        <w:t>。</w:t>
      </w:r>
    </w:p>
    <w:p w:rsidR="00FC7402" w:rsidRPr="00136805" w:rsidRDefault="00FC7402" w:rsidP="00FC7402">
      <w:pPr>
        <w:pStyle w:val="2"/>
        <w:spacing w:beforeLines="150" w:before="540" w:after="108"/>
      </w:pPr>
      <w:bookmarkStart w:id="54" w:name="_Toc389203192"/>
      <w:bookmarkStart w:id="55" w:name="_Toc405462593"/>
      <w:r w:rsidRPr="00E066CE">
        <w:rPr>
          <w:rFonts w:hint="eastAsia"/>
        </w:rPr>
        <w:t>第二節　區域經貿戰略動向</w:t>
      </w:r>
      <w:bookmarkEnd w:id="54"/>
      <w:bookmarkEnd w:id="55"/>
    </w:p>
    <w:p w:rsidR="00FC7402" w:rsidRPr="00136805" w:rsidRDefault="00DB0C74" w:rsidP="00FC7402">
      <w:pPr>
        <w:pStyle w:val="3"/>
        <w:spacing w:beforeLines="100" w:before="360" w:after="72"/>
        <w:rPr>
          <w:rFonts w:ascii="Times New Roman" w:hAnsi="Times New Roman"/>
        </w:rPr>
      </w:pPr>
      <w:r w:rsidRPr="00FF2717">
        <w:rPr>
          <w:rFonts w:ascii="Times New Roman" w:hAnsi="Times New Roman" w:hint="eastAsia"/>
        </w:rPr>
        <w:t>壹、中國大陸對外經貿戰略</w:t>
      </w:r>
    </w:p>
    <w:p w:rsidR="00FC7402" w:rsidRDefault="00DB0C74" w:rsidP="00FC7402">
      <w:pPr>
        <w:pStyle w:val="-"/>
        <w:spacing w:before="108" w:after="108"/>
        <w:ind w:firstLine="520"/>
      </w:pPr>
      <w:r>
        <w:rPr>
          <w:rFonts w:hint="eastAsia"/>
        </w:rPr>
        <w:t>以區域經貿戰略而言，中國大陸自</w:t>
      </w:r>
      <w:r>
        <w:t>2001</w:t>
      </w:r>
      <w:r>
        <w:rPr>
          <w:rFonts w:hint="eastAsia"/>
        </w:rPr>
        <w:t>年加入</w:t>
      </w:r>
      <w:r>
        <w:t>WTO</w:t>
      </w:r>
      <w:r>
        <w:rPr>
          <w:rFonts w:hint="eastAsia"/>
        </w:rPr>
        <w:t>後，開始逐步融入世界經貿體系與秩序當中，透過「開放倒逼改革」的方式，造就了其近年來的高度成長。但近年來，全球經貿情勢上卻是</w:t>
      </w:r>
      <w:r>
        <w:t>WTO</w:t>
      </w:r>
      <w:r>
        <w:rPr>
          <w:rFonts w:hint="eastAsia"/>
        </w:rPr>
        <w:t>功能因為農業與服務業之整合困難而逐漸弱化、各地雙邊與區域貿易整合隨之興起，各區域經濟體集結整合，彼此合縱連橫，使得近年來各主要國家主導之區域經貿安排更形重要。在此情勢下，中國大陸也必須加速調整區域經貿戰略，以避免在國際經濟政治上受制於人。</w:t>
      </w:r>
    </w:p>
    <w:p w:rsidR="00FC7402" w:rsidRDefault="00DB0C74" w:rsidP="00FC7402">
      <w:pPr>
        <w:pStyle w:val="-"/>
        <w:spacing w:before="108" w:after="108"/>
        <w:ind w:firstLine="520"/>
      </w:pPr>
      <w:r>
        <w:rPr>
          <w:rFonts w:hint="eastAsia"/>
        </w:rPr>
        <w:t>目前，中國大陸已簽署自由貿易協定</w:t>
      </w:r>
      <w:r>
        <w:t>12</w:t>
      </w:r>
      <w:r>
        <w:rPr>
          <w:rFonts w:hint="eastAsia"/>
        </w:rPr>
        <w:t>個，涉及</w:t>
      </w:r>
      <w:r>
        <w:t>20</w:t>
      </w:r>
      <w:r>
        <w:rPr>
          <w:rFonts w:hint="eastAsia"/>
        </w:rPr>
        <w:t>個經濟體，分別是其與東協、新加坡、巴基斯坦、紐西蘭、智利、秘魯、哥斯大黎加、冰島和瑞士等之</w:t>
      </w:r>
      <w:r>
        <w:t>FTA</w:t>
      </w:r>
      <w:r>
        <w:rPr>
          <w:rFonts w:hint="eastAsia"/>
        </w:rPr>
        <w:t>，以及其與香港、澳門的更緊密經貿關係安排（</w:t>
      </w:r>
      <w:r>
        <w:t>CEPA</w:t>
      </w:r>
      <w:r>
        <w:rPr>
          <w:rFonts w:hint="eastAsia"/>
        </w:rPr>
        <w:t>），和與我國簽定之「海峽兩岸經濟合作架構協議」（</w:t>
      </w:r>
      <w:r>
        <w:t>ECFA</w:t>
      </w:r>
      <w:r>
        <w:rPr>
          <w:rFonts w:hint="eastAsia"/>
        </w:rPr>
        <w:t>）。正在談判的有</w:t>
      </w:r>
      <w:r>
        <w:t>6</w:t>
      </w:r>
      <w:r>
        <w:rPr>
          <w:rFonts w:hint="eastAsia"/>
        </w:rPr>
        <w:t>個，涉及</w:t>
      </w:r>
      <w:r>
        <w:t>22</w:t>
      </w:r>
      <w:r>
        <w:rPr>
          <w:rFonts w:hint="eastAsia"/>
        </w:rPr>
        <w:t>個經濟體，分別是與韓國、海灣合作委員會（</w:t>
      </w:r>
      <w:r>
        <w:t>GCC</w:t>
      </w:r>
      <w:r>
        <w:rPr>
          <w:rFonts w:hint="eastAsia"/>
        </w:rPr>
        <w:t>）、澳洲和挪威的自貿談判</w:t>
      </w:r>
      <w:r w:rsidR="00E15503">
        <w:rPr>
          <w:rFonts w:hint="eastAsia"/>
        </w:rPr>
        <w:t>（陸</w:t>
      </w:r>
      <w:r w:rsidRPr="003C4049">
        <w:rPr>
          <w:rFonts w:hint="eastAsia"/>
        </w:rPr>
        <w:t>韓</w:t>
      </w:r>
      <w:r w:rsidRPr="003C4049">
        <w:t>FTA</w:t>
      </w:r>
      <w:r w:rsidR="003C4049">
        <w:rPr>
          <w:rFonts w:hint="eastAsia"/>
        </w:rPr>
        <w:t>進度最快</w:t>
      </w:r>
      <w:r w:rsidRPr="003C4049">
        <w:rPr>
          <w:rFonts w:hint="eastAsia"/>
        </w:rPr>
        <w:t>，</w:t>
      </w:r>
      <w:r w:rsidR="003C4049">
        <w:rPr>
          <w:rFonts w:hint="eastAsia"/>
        </w:rPr>
        <w:t>兩國領導人已</w:t>
      </w:r>
      <w:r w:rsidR="003C4049">
        <w:t>在</w:t>
      </w:r>
      <w:r w:rsidR="003C4049">
        <w:t>2</w:t>
      </w:r>
      <w:r w:rsidR="003C4049">
        <w:rPr>
          <w:rFonts w:hint="eastAsia"/>
        </w:rPr>
        <w:t>0</w:t>
      </w:r>
      <w:r w:rsidRPr="003C4049">
        <w:t>14</w:t>
      </w:r>
      <w:r w:rsidR="003C4049">
        <w:rPr>
          <w:rFonts w:hint="eastAsia"/>
        </w:rPr>
        <w:t>年</w:t>
      </w:r>
      <w:r w:rsidR="00F21A2E" w:rsidRPr="00F21A2E">
        <w:rPr>
          <w:rFonts w:hint="eastAsia"/>
          <w:color w:val="0000FF"/>
        </w:rPr>
        <w:t>11</w:t>
      </w:r>
      <w:r w:rsidR="00F21A2E" w:rsidRPr="00F21A2E">
        <w:rPr>
          <w:rFonts w:hint="eastAsia"/>
          <w:color w:val="0000FF"/>
        </w:rPr>
        <w:t>月</w:t>
      </w:r>
      <w:r w:rsidR="003C4049">
        <w:rPr>
          <w:rFonts w:hint="eastAsia"/>
        </w:rPr>
        <w:t>北京</w:t>
      </w:r>
      <w:r w:rsidR="003C4049">
        <w:rPr>
          <w:rFonts w:hint="eastAsia"/>
        </w:rPr>
        <w:t>APEC</w:t>
      </w:r>
      <w:r w:rsidR="003C4049">
        <w:rPr>
          <w:rFonts w:hint="eastAsia"/>
        </w:rPr>
        <w:t>會議上達成共識，預計</w:t>
      </w:r>
      <w:r w:rsidR="003C4049">
        <w:rPr>
          <w:rFonts w:hint="eastAsia"/>
        </w:rPr>
        <w:t>2015</w:t>
      </w:r>
      <w:r w:rsidRPr="003C4049">
        <w:rPr>
          <w:rFonts w:hint="eastAsia"/>
        </w:rPr>
        <w:t>年</w:t>
      </w:r>
      <w:r w:rsidR="003C4049">
        <w:rPr>
          <w:rFonts w:hint="eastAsia"/>
        </w:rPr>
        <w:t>將能</w:t>
      </w:r>
      <w:r w:rsidRPr="003C4049">
        <w:rPr>
          <w:rFonts w:hint="eastAsia"/>
        </w:rPr>
        <w:t>完成），以及「中日韓自貿區」與「區域全面經濟合作夥伴關係協定</w:t>
      </w:r>
      <w:r w:rsidR="003C4049">
        <w:rPr>
          <w:rFonts w:hint="eastAsia"/>
        </w:rPr>
        <w:t>」</w:t>
      </w:r>
      <w:r w:rsidR="00E15503">
        <w:rPr>
          <w:rFonts w:hint="eastAsia"/>
        </w:rPr>
        <w:t>（</w:t>
      </w:r>
      <w:r w:rsidR="00E15503">
        <w:t>R</w:t>
      </w:r>
      <w:r w:rsidR="00E15503" w:rsidRPr="0055771B">
        <w:t xml:space="preserve">egional </w:t>
      </w:r>
      <w:r w:rsidR="00E15503">
        <w:t>C</w:t>
      </w:r>
      <w:r w:rsidR="00E15503" w:rsidRPr="0055771B">
        <w:t xml:space="preserve">omprehensive </w:t>
      </w:r>
      <w:r w:rsidR="00E15503">
        <w:t xml:space="preserve">Economic </w:t>
      </w:r>
      <w:r w:rsidR="00E15503">
        <w:lastRenderedPageBreak/>
        <w:t>P</w:t>
      </w:r>
      <w:r w:rsidR="00E15503" w:rsidRPr="0055771B">
        <w:t>artnership</w:t>
      </w:r>
      <w:r w:rsidR="00E15503">
        <w:t>, RCEP</w:t>
      </w:r>
      <w:r w:rsidR="00E15503">
        <w:rPr>
          <w:rFonts w:hint="eastAsia"/>
        </w:rPr>
        <w:t>）談</w:t>
      </w:r>
      <w:r w:rsidRPr="003C4049">
        <w:rPr>
          <w:rFonts w:hint="eastAsia"/>
        </w:rPr>
        <w:t>判。</w:t>
      </w:r>
      <w:r>
        <w:rPr>
          <w:rFonts w:hint="eastAsia"/>
        </w:rPr>
        <w:t>另外，中國大陸也完成了與印度間之區域貿易安排聯合研究；正與哥倫比亞等開展自貿區聯合可行性研究等等。總結來看，中國大陸已簽署和談判中的自貿協定共有</w:t>
      </w:r>
      <w:r>
        <w:t>18</w:t>
      </w:r>
      <w:r>
        <w:rPr>
          <w:rFonts w:hint="eastAsia"/>
        </w:rPr>
        <w:t>個，但以中國大陸身為世界第二大經濟體，與全球</w:t>
      </w:r>
      <w:r>
        <w:t>FTA</w:t>
      </w:r>
      <w:r>
        <w:rPr>
          <w:rFonts w:hint="eastAsia"/>
        </w:rPr>
        <w:t>數量逾</w:t>
      </w:r>
      <w:r>
        <w:t>380</w:t>
      </w:r>
      <w:r>
        <w:rPr>
          <w:rFonts w:hint="eastAsia"/>
        </w:rPr>
        <w:t>個相比，比例仍相當低。因此，區域經貿戰略的調整對習李新政而言是非常重要的經濟與對外之課題。</w:t>
      </w:r>
    </w:p>
    <w:p w:rsidR="00FC7402" w:rsidRDefault="00E15503" w:rsidP="00FC7402">
      <w:pPr>
        <w:pStyle w:val="-"/>
        <w:spacing w:before="108" w:after="108"/>
        <w:ind w:firstLine="520"/>
      </w:pPr>
      <w:r w:rsidRPr="00C74F59">
        <w:rPr>
          <w:rFonts w:hint="eastAsia"/>
        </w:rPr>
        <w:t>從目前正在談判的</w:t>
      </w:r>
      <w:r w:rsidRPr="00C74F59">
        <w:rPr>
          <w:rFonts w:hint="eastAsia"/>
        </w:rPr>
        <w:t>RCEP</w:t>
      </w:r>
      <w:r w:rsidR="00DB0C74" w:rsidRPr="00C74F59">
        <w:rPr>
          <w:rFonts w:hint="eastAsia"/>
        </w:rPr>
        <w:t>來看，</w:t>
      </w:r>
      <w:r w:rsidR="00DB0C74" w:rsidRPr="00C74F59">
        <w:t>RCEP</w:t>
      </w:r>
      <w:r w:rsidR="00DB0C74" w:rsidRPr="00C74F59">
        <w:rPr>
          <w:rFonts w:hint="eastAsia"/>
        </w:rPr>
        <w:t>由東協十國發起，邀請中國大</w:t>
      </w:r>
      <w:r w:rsidR="00DB0C74">
        <w:rPr>
          <w:rFonts w:hint="eastAsia"/>
        </w:rPr>
        <w:t>陸、日本、韓國、澳大利亞、紐西蘭、印度共同參加，透過削減關稅及非關稅壁壘，建立統一市場的</w:t>
      </w:r>
      <w:r w:rsidR="00DB0C74">
        <w:t>16</w:t>
      </w:r>
      <w:r w:rsidR="00DB0C74">
        <w:rPr>
          <w:rFonts w:hint="eastAsia"/>
        </w:rPr>
        <w:t>國自由貿易協定，</w:t>
      </w:r>
      <w:r w:rsidR="00DB0C74">
        <w:t>GDP</w:t>
      </w:r>
      <w:r w:rsidR="00DB0C74">
        <w:rPr>
          <w:rFonts w:hint="eastAsia"/>
        </w:rPr>
        <w:t>占全球總量</w:t>
      </w:r>
      <w:r w:rsidR="00DB0C74">
        <w:t>30%</w:t>
      </w:r>
      <w:r w:rsidR="00DB0C74">
        <w:rPr>
          <w:rFonts w:hint="eastAsia"/>
        </w:rPr>
        <w:t>。而「東協加</w:t>
      </w:r>
      <w:r w:rsidR="00DB0C74">
        <w:t>N</w:t>
      </w:r>
      <w:r w:rsidR="00DB0C74">
        <w:rPr>
          <w:rFonts w:hint="eastAsia"/>
        </w:rPr>
        <w:t>」的經濟整合至</w:t>
      </w:r>
      <w:r w:rsidR="00DB0C74">
        <w:t>2012</w:t>
      </w:r>
      <w:r w:rsidR="00DB0C74">
        <w:rPr>
          <w:rFonts w:hint="eastAsia"/>
        </w:rPr>
        <w:t>年已與中國大陸、日本、韓國、澳洲、紐西蘭、印度簽署雙邊</w:t>
      </w:r>
      <w:r w:rsidR="00DB0C74">
        <w:t>FTA</w:t>
      </w:r>
      <w:r w:rsidR="00DB0C74">
        <w:rPr>
          <w:rFonts w:hint="eastAsia"/>
        </w:rPr>
        <w:t>並生效，如</w:t>
      </w:r>
      <w:r w:rsidR="00DB0C74">
        <w:t>2001</w:t>
      </w:r>
      <w:r w:rsidR="00DB0C74">
        <w:rPr>
          <w:rFonts w:hint="eastAsia"/>
        </w:rPr>
        <w:t>年就與中國大陸建立中國</w:t>
      </w:r>
      <w:r w:rsidR="00DB0C74">
        <w:t>-</w:t>
      </w:r>
      <w:r w:rsidR="00DB0C74" w:rsidRPr="00C74F59">
        <w:rPr>
          <w:rFonts w:hint="eastAsia"/>
        </w:rPr>
        <w:t>東協自由貿易區；多邊</w:t>
      </w:r>
      <w:r w:rsidR="00DB0C74" w:rsidRPr="00C74F59">
        <w:t>FTA</w:t>
      </w:r>
      <w:r w:rsidR="00DB0C74" w:rsidRPr="00C74F59">
        <w:rPr>
          <w:rFonts w:hint="eastAsia"/>
        </w:rPr>
        <w:t>則在</w:t>
      </w:r>
      <w:r w:rsidR="00DB0C74" w:rsidRPr="00C74F59">
        <w:t>2005</w:t>
      </w:r>
      <w:r w:rsidR="00DB0C74" w:rsidRPr="00C74F59">
        <w:rPr>
          <w:rFonts w:hint="eastAsia"/>
        </w:rPr>
        <w:t>年確立東協加三（</w:t>
      </w:r>
      <w:r w:rsidR="009A29EE" w:rsidRPr="00C74F59">
        <w:rPr>
          <w:rFonts w:hint="eastAsia"/>
        </w:rPr>
        <w:t>「</w:t>
      </w:r>
      <w:r w:rsidR="00DB0C74" w:rsidRPr="00C74F59">
        <w:rPr>
          <w:rFonts w:hint="eastAsia"/>
        </w:rPr>
        <w:t>中</w:t>
      </w:r>
      <w:r w:rsidR="009A29EE" w:rsidRPr="00C74F59">
        <w:rPr>
          <w:rFonts w:hint="eastAsia"/>
        </w:rPr>
        <w:t>」</w:t>
      </w:r>
      <w:r w:rsidR="00DB0C74" w:rsidRPr="00C74F59">
        <w:rPr>
          <w:rFonts w:hint="eastAsia"/>
        </w:rPr>
        <w:t>、日、韓）</w:t>
      </w:r>
      <w:r w:rsidR="00DB0C74">
        <w:rPr>
          <w:rFonts w:hint="eastAsia"/>
        </w:rPr>
        <w:t>的形成。</w:t>
      </w:r>
      <w:r w:rsidR="00DB0C74">
        <w:t>RCEP</w:t>
      </w:r>
      <w:r w:rsidR="00DB0C74">
        <w:rPr>
          <w:rFonts w:hint="eastAsia"/>
        </w:rPr>
        <w:t>於</w:t>
      </w:r>
      <w:r w:rsidR="00DB0C74">
        <w:t>2013</w:t>
      </w:r>
      <w:r w:rsidR="00DB0C74">
        <w:rPr>
          <w:rFonts w:hint="eastAsia"/>
        </w:rPr>
        <w:t>年啟動談判以來，被視為「東協加六」的擴大版，並開放其他經濟夥伴國加入，目前最新談判進度已於</w:t>
      </w:r>
      <w:r w:rsidR="00DB0C74">
        <w:t>2014</w:t>
      </w:r>
      <w:r w:rsidR="00DB0C74">
        <w:rPr>
          <w:rFonts w:hint="eastAsia"/>
        </w:rPr>
        <w:t>年</w:t>
      </w:r>
      <w:r w:rsidR="00DB0C74">
        <w:t>6</w:t>
      </w:r>
      <w:r w:rsidR="00DB0C74">
        <w:rPr>
          <w:rFonts w:hint="eastAsia"/>
        </w:rPr>
        <w:t>月在新加坡完成舉行第五輪談判。雖然主導者中國大陸希望於</w:t>
      </w:r>
      <w:r w:rsidR="00DB0C74">
        <w:t>2015</w:t>
      </w:r>
      <w:r w:rsidR="00DB0C74">
        <w:rPr>
          <w:rFonts w:hint="eastAsia"/>
        </w:rPr>
        <w:t>年底前完成協商，但就目前各成員國中有許多面臨內部政經問題，且各國敏感開放領域統合完整仍需時間，此一期限可能不易達成。</w:t>
      </w:r>
    </w:p>
    <w:p w:rsidR="00FC7402" w:rsidRDefault="00FC7402" w:rsidP="00FC7402">
      <w:pPr>
        <w:pStyle w:val="-"/>
        <w:spacing w:before="108" w:after="108"/>
        <w:ind w:firstLine="520"/>
      </w:pPr>
    </w:p>
    <w:p w:rsidR="00FC7402" w:rsidRDefault="00FC7402" w:rsidP="00FC7402">
      <w:pPr>
        <w:pStyle w:val="-"/>
        <w:spacing w:before="108" w:after="108"/>
        <w:ind w:firstLine="520"/>
      </w:pPr>
    </w:p>
    <w:p w:rsidR="00FC7402" w:rsidRDefault="00FC7402" w:rsidP="00FC7402">
      <w:pPr>
        <w:pStyle w:val="-"/>
        <w:spacing w:before="108" w:after="108"/>
        <w:ind w:firstLine="520"/>
      </w:pPr>
    </w:p>
    <w:p w:rsidR="00FC7402" w:rsidRDefault="00796180" w:rsidP="00FC7402">
      <w:pPr>
        <w:pStyle w:val="af7"/>
        <w:spacing w:beforeLines="0" w:afterLines="0" w:line="240" w:lineRule="auto"/>
        <w:ind w:firstLineChars="0" w:firstLine="0"/>
        <w:rPr>
          <w:rFonts w:ascii="標楷體" w:hAnsi="標楷體"/>
        </w:rPr>
      </w:pPr>
      <w:r>
        <w:rPr>
          <w:noProof/>
        </w:rPr>
        <w:lastRenderedPageBreak/>
        <w:drawing>
          <wp:inline distT="0" distB="0" distL="0" distR="0">
            <wp:extent cx="5281930" cy="5732145"/>
            <wp:effectExtent l="0" t="0" r="0" b="1905"/>
            <wp:docPr id="16" name="圖片 16" descr="http://img1.cna.com.tw/www/WebPhotos/tbWebSource/20140217/527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1.cna.com.tw/www/WebPhotos/tbWebSource/20140217/5272986.jpg"/>
                    <pic:cNvPicPr>
                      <a:picLocks noChangeAspect="1" noChangeArrowheads="1"/>
                    </pic:cNvPicPr>
                  </pic:nvPicPr>
                  <pic:blipFill>
                    <a:blip r:embed="rId31">
                      <a:extLst>
                        <a:ext uri="{28A0092B-C50C-407E-A947-70E740481C1C}">
                          <a14:useLocalDpi xmlns:a14="http://schemas.microsoft.com/office/drawing/2010/main" val="0"/>
                        </a:ext>
                      </a:extLst>
                    </a:blip>
                    <a:srcRect t="1007" b="45123"/>
                    <a:stretch>
                      <a:fillRect/>
                    </a:stretch>
                  </pic:blipFill>
                  <pic:spPr bwMode="auto">
                    <a:xfrm>
                      <a:off x="0" y="0"/>
                      <a:ext cx="5281930" cy="5732145"/>
                    </a:xfrm>
                    <a:prstGeom prst="rect">
                      <a:avLst/>
                    </a:prstGeom>
                    <a:noFill/>
                    <a:ln>
                      <a:noFill/>
                    </a:ln>
                  </pic:spPr>
                </pic:pic>
              </a:graphicData>
            </a:graphic>
          </wp:inline>
        </w:drawing>
      </w:r>
    </w:p>
    <w:p w:rsidR="00FC7402" w:rsidRPr="00834E0A" w:rsidRDefault="00DB0C74" w:rsidP="00FC7402">
      <w:pPr>
        <w:pStyle w:val="a9"/>
        <w:rPr>
          <w:lang w:val="en-US" w:eastAsia="zh-TW"/>
        </w:rPr>
      </w:pPr>
      <w:r w:rsidRPr="00834E0A">
        <w:rPr>
          <w:rFonts w:hint="eastAsia"/>
          <w:lang w:val="en-US" w:eastAsia="zh-TW"/>
        </w:rPr>
        <w:t>資料來源：中央社，</w:t>
      </w:r>
      <w:r w:rsidRPr="00834E0A">
        <w:rPr>
          <w:lang w:val="en-US" w:eastAsia="zh-TW"/>
        </w:rPr>
        <w:t>2014</w:t>
      </w:r>
      <w:r w:rsidRPr="00834E0A">
        <w:rPr>
          <w:rFonts w:hint="eastAsia"/>
          <w:lang w:val="en-US" w:eastAsia="zh-TW"/>
        </w:rPr>
        <w:t>年</w:t>
      </w:r>
      <w:r w:rsidRPr="00834E0A">
        <w:rPr>
          <w:lang w:val="en-US" w:eastAsia="zh-TW"/>
        </w:rPr>
        <w:t>2</w:t>
      </w:r>
      <w:r w:rsidRPr="00834E0A">
        <w:rPr>
          <w:rFonts w:hint="eastAsia"/>
          <w:lang w:val="en-US" w:eastAsia="zh-TW"/>
        </w:rPr>
        <w:t>月</w:t>
      </w:r>
      <w:r w:rsidRPr="00834E0A">
        <w:rPr>
          <w:lang w:val="en-US" w:eastAsia="zh-TW"/>
        </w:rPr>
        <w:t>17</w:t>
      </w:r>
      <w:r w:rsidRPr="00834E0A">
        <w:rPr>
          <w:rFonts w:hint="eastAsia"/>
          <w:lang w:val="en-US" w:eastAsia="zh-TW"/>
        </w:rPr>
        <w:t>日。</w:t>
      </w:r>
    </w:p>
    <w:p w:rsidR="00FC7402" w:rsidRPr="00FD5F24" w:rsidRDefault="00DB0C74" w:rsidP="00FC7402">
      <w:pPr>
        <w:pStyle w:val="af0"/>
      </w:pPr>
      <w:bookmarkStart w:id="56" w:name="_Toc405462635"/>
      <w:r w:rsidRPr="00FD5F24">
        <w:rPr>
          <w:rFonts w:hint="eastAsia"/>
        </w:rPr>
        <w:t>圖</w:t>
      </w:r>
      <w:r>
        <w:t>4-5</w:t>
      </w:r>
      <w:r>
        <w:rPr>
          <w:rFonts w:hint="eastAsia"/>
        </w:rPr>
        <w:t xml:space="preserve">　</w:t>
      </w:r>
      <w:r w:rsidRPr="00FD5F24">
        <w:t>RCEP</w:t>
      </w:r>
      <w:r w:rsidRPr="00FD5F24">
        <w:rPr>
          <w:rFonts w:hint="eastAsia"/>
        </w:rPr>
        <w:t>與</w:t>
      </w:r>
      <w:r w:rsidRPr="00FD5F24">
        <w:t>TPP</w:t>
      </w:r>
      <w:r w:rsidRPr="00FD5F24">
        <w:rPr>
          <w:rFonts w:hint="eastAsia"/>
        </w:rPr>
        <w:t>比較圖</w:t>
      </w:r>
      <w:bookmarkEnd w:id="56"/>
    </w:p>
    <w:p w:rsidR="00FC7402" w:rsidRDefault="00DB0C74" w:rsidP="00FC7402">
      <w:pPr>
        <w:pStyle w:val="-"/>
        <w:spacing w:before="108" w:after="108"/>
        <w:ind w:firstLine="520"/>
      </w:pPr>
      <w:r>
        <w:rPr>
          <w:rFonts w:hint="eastAsia"/>
        </w:rPr>
        <w:t>「跨太平洋夥伴協議」（</w:t>
      </w:r>
      <w:r>
        <w:t>Trans Pacific P</w:t>
      </w:r>
      <w:r w:rsidRPr="0018707A">
        <w:t>artnership</w:t>
      </w:r>
      <w:r>
        <w:t>, TPP</w:t>
      </w:r>
      <w:r>
        <w:rPr>
          <w:rFonts w:hint="eastAsia"/>
        </w:rPr>
        <w:t>）則是</w:t>
      </w:r>
      <w:r>
        <w:t>2002</w:t>
      </w:r>
      <w:r>
        <w:rPr>
          <w:rFonts w:hint="eastAsia"/>
        </w:rPr>
        <w:t>年由紐西蘭、新加坡、智利發起，即開始醞釀此一多邊自由貿易協定，到</w:t>
      </w:r>
      <w:r>
        <w:t>2008</w:t>
      </w:r>
      <w:r>
        <w:rPr>
          <w:rFonts w:hint="eastAsia"/>
        </w:rPr>
        <w:t>年美國加入成為主導者，目的在促進亞太地區的貿易自由化。成員國</w:t>
      </w:r>
      <w:r w:rsidRPr="0018707A">
        <w:rPr>
          <w:rFonts w:hint="eastAsia"/>
        </w:rPr>
        <w:t>以太平洋周邊國家為主，包含了美國、加拿大、墨西哥、智利、祕魯、日本、越南、馬來西亞、汶萊、新加坡、紐西蘭和澳洲等</w:t>
      </w:r>
      <w:r w:rsidRPr="0018707A">
        <w:t>12</w:t>
      </w:r>
      <w:r>
        <w:rPr>
          <w:rFonts w:hint="eastAsia"/>
        </w:rPr>
        <w:t>個國家，</w:t>
      </w:r>
      <w:r>
        <w:t>GDP</w:t>
      </w:r>
      <w:r>
        <w:rPr>
          <w:rFonts w:hint="eastAsia"/>
        </w:rPr>
        <w:t>占全球總量</w:t>
      </w:r>
      <w:r>
        <w:t>38%</w:t>
      </w:r>
      <w:r>
        <w:rPr>
          <w:rFonts w:hint="eastAsia"/>
        </w:rPr>
        <w:t>（圖</w:t>
      </w:r>
      <w:r>
        <w:t>4-5</w:t>
      </w:r>
      <w:r>
        <w:rPr>
          <w:rFonts w:hint="eastAsia"/>
        </w:rPr>
        <w:t>），原本預定在</w:t>
      </w:r>
      <w:r>
        <w:t>2015</w:t>
      </w:r>
      <w:r>
        <w:rPr>
          <w:rFonts w:hint="eastAsia"/>
        </w:rPr>
        <w:t>年生效，但現因美、日兩要角之</w:t>
      </w:r>
      <w:r>
        <w:rPr>
          <w:rFonts w:hint="eastAsia"/>
        </w:rPr>
        <w:lastRenderedPageBreak/>
        <w:t>間較不易達成共識，成為目前談判進度之主要障礙。中國大陸從一開始對於</w:t>
      </w:r>
      <w:r>
        <w:t>TPP</w:t>
      </w:r>
      <w:r>
        <w:rPr>
          <w:rFonts w:hint="eastAsia"/>
        </w:rPr>
        <w:t>採排拒態度，到習李上臺後態度轉變，開始認真考慮加入，並透過上海自貿區之試驗來預擬未來可能開放的情況。無論如何，兩岸雖都表達加入</w:t>
      </w:r>
      <w:r>
        <w:t>TPP</w:t>
      </w:r>
      <w:r>
        <w:rPr>
          <w:rFonts w:hint="eastAsia"/>
        </w:rPr>
        <w:t>意願，但可能都要等待目前</w:t>
      </w:r>
      <w:r>
        <w:t>12</w:t>
      </w:r>
      <w:r>
        <w:rPr>
          <w:rFonts w:hint="eastAsia"/>
        </w:rPr>
        <w:t>個成員國談判完成後，才會開放第二波的新成員加入。</w:t>
      </w:r>
    </w:p>
    <w:p w:rsidR="00FC7402" w:rsidRPr="00C74F59" w:rsidRDefault="00DB0C74" w:rsidP="00FC7402">
      <w:pPr>
        <w:pStyle w:val="-"/>
        <w:spacing w:before="108" w:after="108"/>
        <w:ind w:firstLine="520"/>
      </w:pPr>
      <w:r w:rsidRPr="00C74F59">
        <w:rPr>
          <w:rFonts w:hint="eastAsia"/>
        </w:rPr>
        <w:t>「中日韓自貿區」</w:t>
      </w:r>
      <w:r w:rsidRPr="00C74F59">
        <w:t>2012</w:t>
      </w:r>
      <w:r w:rsidRPr="00C74F59">
        <w:rPr>
          <w:rFonts w:hint="eastAsia"/>
        </w:rPr>
        <w:t>年啟動談判以來，於</w:t>
      </w:r>
      <w:r w:rsidRPr="00C74F59">
        <w:t>2014</w:t>
      </w:r>
      <w:r w:rsidRPr="00C74F59">
        <w:rPr>
          <w:rFonts w:hint="eastAsia"/>
        </w:rPr>
        <w:t>年</w:t>
      </w:r>
      <w:r w:rsidRPr="00C74F59">
        <w:t>9</w:t>
      </w:r>
      <w:r w:rsidRPr="00C74F59">
        <w:rPr>
          <w:rFonts w:hint="eastAsia"/>
        </w:rPr>
        <w:t>月已完成第五輪談判，已就貨貿、服貿、投資談判等內容開始深入磋商，</w:t>
      </w:r>
      <w:r w:rsidRPr="00C74F59">
        <w:rPr>
          <w:rFonts w:hint="eastAsia"/>
          <w:szCs w:val="26"/>
          <w:shd w:val="clear" w:color="auto" w:fill="FFFFFF"/>
        </w:rPr>
        <w:t>三方已就貨物貿易的降稅模式、服務貿易和投資開放方式及協定範圍與領域等議題有了更多的</w:t>
      </w:r>
      <w:r w:rsidRPr="00C74F59">
        <w:rPr>
          <w:rFonts w:hint="eastAsia"/>
          <w:szCs w:val="26"/>
        </w:rPr>
        <w:t>共識</w:t>
      </w:r>
      <w:r w:rsidRPr="00C74F59">
        <w:rPr>
          <w:rFonts w:hint="eastAsia"/>
        </w:rPr>
        <w:t>。除貨貿、服貿等</w:t>
      </w:r>
      <w:r w:rsidRPr="00C74F59">
        <w:t>11</w:t>
      </w:r>
      <w:r w:rsidRPr="00C74F59">
        <w:rPr>
          <w:rFonts w:hint="eastAsia"/>
        </w:rPr>
        <w:t>個領域已設立工作小組展開協商之外，三方同意將電子商務、環境合作納入協定，並相應成立工作組。目前三方並未提出具體完成之時間表，而此談判的主要困難仍受制於</w:t>
      </w:r>
      <w:r w:rsidR="00D21AD4" w:rsidRPr="00C74F59">
        <w:rPr>
          <w:rFonts w:ascii="標楷體" w:hAnsi="標楷體" w:hint="eastAsia"/>
        </w:rPr>
        <w:t>「</w:t>
      </w:r>
      <w:r w:rsidRPr="00C74F59">
        <w:rPr>
          <w:rFonts w:hint="eastAsia"/>
        </w:rPr>
        <w:t>中</w:t>
      </w:r>
      <w:r w:rsidR="00D21AD4" w:rsidRPr="00C74F59">
        <w:rPr>
          <w:rFonts w:ascii="標楷體" w:hAnsi="標楷體" w:hint="eastAsia"/>
        </w:rPr>
        <w:t>」</w:t>
      </w:r>
      <w:r w:rsidRPr="00C74F59">
        <w:rPr>
          <w:rFonts w:hint="eastAsia"/>
        </w:rPr>
        <w:t>日之間近來在政治上的互動不佳。</w:t>
      </w:r>
      <w:r w:rsidR="00E96A8E" w:rsidRPr="00C74F59">
        <w:rPr>
          <w:rFonts w:hint="eastAsia"/>
        </w:rPr>
        <w:t>但在前述陸</w:t>
      </w:r>
      <w:r w:rsidR="003C4049" w:rsidRPr="00C74F59">
        <w:rPr>
          <w:rFonts w:hint="eastAsia"/>
        </w:rPr>
        <w:t>韓</w:t>
      </w:r>
      <w:r w:rsidR="003C4049" w:rsidRPr="00C74F59">
        <w:rPr>
          <w:rFonts w:hint="eastAsia"/>
        </w:rPr>
        <w:t>FTA</w:t>
      </w:r>
      <w:r w:rsidR="003C4049" w:rsidRPr="00C74F59">
        <w:rPr>
          <w:rFonts w:hint="eastAsia"/>
        </w:rPr>
        <w:t>達成共識後，可望</w:t>
      </w:r>
      <w:r w:rsidR="006B17A1" w:rsidRPr="00C74F59">
        <w:rPr>
          <w:rFonts w:hint="eastAsia"/>
        </w:rPr>
        <w:t>加速「中日韓自貿區」之進展。</w:t>
      </w:r>
    </w:p>
    <w:p w:rsidR="00FC7402" w:rsidRDefault="00796180" w:rsidP="00FC7402">
      <w:pPr>
        <w:pStyle w:val="-"/>
        <w:spacing w:before="108" w:after="108"/>
        <w:ind w:firstLine="520"/>
      </w:pPr>
      <w:r>
        <w:rPr>
          <w:noProof/>
        </w:rPr>
        <w:drawing>
          <wp:anchor distT="0" distB="0" distL="114300" distR="114300" simplePos="0" relativeHeight="5" behindDoc="0" locked="0" layoutInCell="1" allowOverlap="1">
            <wp:simplePos x="0" y="0"/>
            <wp:positionH relativeFrom="column">
              <wp:posOffset>-60325</wp:posOffset>
            </wp:positionH>
            <wp:positionV relativeFrom="paragraph">
              <wp:posOffset>-1270</wp:posOffset>
            </wp:positionV>
            <wp:extent cx="5307965" cy="3159125"/>
            <wp:effectExtent l="0" t="0" r="6985" b="3175"/>
            <wp:wrapNone/>
            <wp:docPr id="324" name="圖片 32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1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7965" cy="3159125"/>
                    </a:xfrm>
                    <a:prstGeom prst="rect">
                      <a:avLst/>
                    </a:prstGeom>
                    <a:noFill/>
                  </pic:spPr>
                </pic:pic>
              </a:graphicData>
            </a:graphic>
            <wp14:sizeRelH relativeFrom="page">
              <wp14:pctWidth>0</wp14:pctWidth>
            </wp14:sizeRelH>
            <wp14:sizeRelV relativeFrom="page">
              <wp14:pctHeight>0</wp14:pctHeight>
            </wp14:sizeRelV>
          </wp:anchor>
        </w:drawing>
      </w:r>
    </w:p>
    <w:p w:rsidR="00FC7402" w:rsidRDefault="00FC7402" w:rsidP="00FC7402">
      <w:pPr>
        <w:pStyle w:val="-"/>
        <w:spacing w:before="108" w:after="108"/>
        <w:ind w:firstLine="520"/>
      </w:pPr>
    </w:p>
    <w:p w:rsidR="00FC7402" w:rsidRDefault="00FC7402" w:rsidP="00FC7402">
      <w:pPr>
        <w:pStyle w:val="-"/>
        <w:spacing w:before="108" w:after="108"/>
        <w:ind w:firstLine="520"/>
      </w:pPr>
    </w:p>
    <w:p w:rsidR="00FC7402" w:rsidRDefault="00FC7402" w:rsidP="00FC7402">
      <w:pPr>
        <w:pStyle w:val="-"/>
        <w:spacing w:before="108" w:after="108"/>
        <w:ind w:firstLine="520"/>
      </w:pPr>
    </w:p>
    <w:p w:rsidR="00FC7402" w:rsidRDefault="00FC7402" w:rsidP="00FC7402">
      <w:pPr>
        <w:pStyle w:val="-"/>
        <w:spacing w:before="108" w:after="108"/>
        <w:ind w:firstLine="520"/>
      </w:pPr>
    </w:p>
    <w:p w:rsidR="00FC7402" w:rsidRDefault="00FC7402" w:rsidP="00FC7402">
      <w:pPr>
        <w:pStyle w:val="-"/>
        <w:spacing w:before="108" w:after="108"/>
        <w:ind w:firstLine="520"/>
      </w:pPr>
    </w:p>
    <w:p w:rsidR="00FC7402" w:rsidRDefault="00FC7402" w:rsidP="00FC7402">
      <w:pPr>
        <w:pStyle w:val="-"/>
        <w:spacing w:before="108" w:after="108"/>
        <w:ind w:firstLine="520"/>
      </w:pPr>
    </w:p>
    <w:p w:rsidR="00FC7402" w:rsidRDefault="00FC7402" w:rsidP="00FC7402">
      <w:pPr>
        <w:pStyle w:val="-"/>
        <w:spacing w:before="108" w:after="108"/>
        <w:ind w:firstLine="520"/>
      </w:pPr>
    </w:p>
    <w:p w:rsidR="00FC7402" w:rsidRPr="00834E0A" w:rsidRDefault="00DB0C74" w:rsidP="00FC7402">
      <w:pPr>
        <w:pStyle w:val="a9"/>
        <w:rPr>
          <w:lang w:val="en-US" w:eastAsia="zh-TW"/>
        </w:rPr>
      </w:pPr>
      <w:r w:rsidRPr="00834E0A">
        <w:rPr>
          <w:rFonts w:hint="eastAsia"/>
          <w:lang w:val="en-US" w:eastAsia="zh-TW"/>
        </w:rPr>
        <w:t>資料來源：中央社，</w:t>
      </w:r>
      <w:r w:rsidRPr="00834E0A">
        <w:rPr>
          <w:lang w:val="en-US" w:eastAsia="zh-TW"/>
        </w:rPr>
        <w:t>2014</w:t>
      </w:r>
      <w:r w:rsidRPr="00834E0A">
        <w:rPr>
          <w:rFonts w:hint="eastAsia"/>
          <w:lang w:val="en-US" w:eastAsia="zh-TW"/>
        </w:rPr>
        <w:t>年</w:t>
      </w:r>
      <w:r w:rsidRPr="00834E0A">
        <w:rPr>
          <w:lang w:val="en-US" w:eastAsia="zh-TW"/>
        </w:rPr>
        <w:t>2</w:t>
      </w:r>
      <w:r w:rsidRPr="00834E0A">
        <w:rPr>
          <w:rFonts w:hint="eastAsia"/>
          <w:lang w:val="en-US" w:eastAsia="zh-TW"/>
        </w:rPr>
        <w:t>月</w:t>
      </w:r>
      <w:r w:rsidRPr="00834E0A">
        <w:rPr>
          <w:lang w:val="en-US" w:eastAsia="zh-TW"/>
        </w:rPr>
        <w:t>1</w:t>
      </w:r>
      <w:r>
        <w:rPr>
          <w:lang w:val="en-US" w:eastAsia="zh-TW"/>
        </w:rPr>
        <w:t>8</w:t>
      </w:r>
      <w:r w:rsidRPr="00834E0A">
        <w:rPr>
          <w:rFonts w:hint="eastAsia"/>
          <w:lang w:val="en-US" w:eastAsia="zh-TW"/>
        </w:rPr>
        <w:t>日。</w:t>
      </w:r>
    </w:p>
    <w:p w:rsidR="00FC7402" w:rsidRPr="00FD5F24" w:rsidRDefault="00DB0C74" w:rsidP="00FC7402">
      <w:pPr>
        <w:pStyle w:val="af0"/>
      </w:pPr>
      <w:bookmarkStart w:id="57" w:name="_Toc405462636"/>
      <w:r w:rsidRPr="00FD5F24">
        <w:rPr>
          <w:rFonts w:hint="eastAsia"/>
        </w:rPr>
        <w:t>圖</w:t>
      </w:r>
      <w:r>
        <w:t>4-6</w:t>
      </w:r>
      <w:r>
        <w:rPr>
          <w:rFonts w:hint="eastAsia"/>
        </w:rPr>
        <w:t xml:space="preserve">　</w:t>
      </w:r>
      <w:r>
        <w:t>FTAAP</w:t>
      </w:r>
      <w:r>
        <w:rPr>
          <w:rFonts w:hint="eastAsia"/>
        </w:rPr>
        <w:t>與</w:t>
      </w:r>
      <w:r w:rsidRPr="00FD5F24">
        <w:t>RCEP</w:t>
      </w:r>
      <w:r>
        <w:rPr>
          <w:rFonts w:hint="eastAsia"/>
        </w:rPr>
        <w:t>、</w:t>
      </w:r>
      <w:r w:rsidRPr="00FD5F24">
        <w:t>TPP</w:t>
      </w:r>
      <w:r>
        <w:rPr>
          <w:rFonts w:hint="eastAsia"/>
        </w:rPr>
        <w:t>關係</w:t>
      </w:r>
      <w:bookmarkEnd w:id="57"/>
    </w:p>
    <w:p w:rsidR="00FC7402" w:rsidRPr="00A105A7" w:rsidRDefault="00FC7402" w:rsidP="00FC7402">
      <w:pPr>
        <w:pStyle w:val="-"/>
        <w:spacing w:before="108" w:after="108"/>
        <w:ind w:firstLine="520"/>
      </w:pPr>
    </w:p>
    <w:p w:rsidR="00FC7402" w:rsidRDefault="00DB0C74" w:rsidP="00FC7402">
      <w:pPr>
        <w:pStyle w:val="-"/>
        <w:spacing w:before="108" w:after="108"/>
        <w:ind w:firstLine="520"/>
      </w:pPr>
      <w:r>
        <w:rPr>
          <w:rFonts w:hint="eastAsia"/>
        </w:rPr>
        <w:lastRenderedPageBreak/>
        <w:t>中國大陸除了自己參與或表達有意參與實際進行中的上述重要區域自由貿易談判之外，尚且提出尚未開始的、更大範圍的亞太貿易自由化構想：</w:t>
      </w:r>
      <w:r>
        <w:t>2014</w:t>
      </w:r>
      <w:r>
        <w:rPr>
          <w:rFonts w:hint="eastAsia"/>
        </w:rPr>
        <w:t>年</w:t>
      </w:r>
      <w:r>
        <w:t>4</w:t>
      </w:r>
      <w:r>
        <w:rPr>
          <w:rFonts w:hint="eastAsia"/>
        </w:rPr>
        <w:t>月李克強在博鰲</w:t>
      </w:r>
      <w:r w:rsidR="006B17A1">
        <w:rPr>
          <w:rFonts w:hint="eastAsia"/>
        </w:rPr>
        <w:t>論</w:t>
      </w:r>
      <w:r>
        <w:rPr>
          <w:rFonts w:hint="eastAsia"/>
        </w:rPr>
        <w:t>壇上就亞太區域經濟整合發表談話時指出，除了既定希望於</w:t>
      </w:r>
      <w:r>
        <w:t>2015</w:t>
      </w:r>
      <w:r>
        <w:rPr>
          <w:rFonts w:hint="eastAsia"/>
        </w:rPr>
        <w:t>年達成</w:t>
      </w:r>
      <w:r>
        <w:t>RCEP</w:t>
      </w:r>
      <w:r>
        <w:rPr>
          <w:rFonts w:hint="eastAsia"/>
        </w:rPr>
        <w:t>協議外，還提出展開「亞太自由貿易區」（</w:t>
      </w:r>
      <w:r w:rsidRPr="00944345">
        <w:t>Free Trade Area of the Asia-Pacific</w:t>
      </w:r>
      <w:r>
        <w:t>,</w:t>
      </w:r>
      <w:r w:rsidRPr="00944345">
        <w:t xml:space="preserve"> </w:t>
      </w:r>
      <w:r>
        <w:t>FTAAP</w:t>
      </w:r>
      <w:r>
        <w:rPr>
          <w:rFonts w:hint="eastAsia"/>
        </w:rPr>
        <w:t>）的可行性研究，以實現亞太地區現貿易投資利益最大化。</w:t>
      </w:r>
    </w:p>
    <w:p w:rsidR="00FC7402" w:rsidRDefault="00DB0C74" w:rsidP="00FC7402">
      <w:pPr>
        <w:pStyle w:val="-"/>
        <w:spacing w:before="108" w:after="108"/>
        <w:ind w:firstLine="520"/>
      </w:pPr>
      <w:r>
        <w:rPr>
          <w:rFonts w:hint="eastAsia"/>
        </w:rPr>
        <w:t>事實上，</w:t>
      </w:r>
      <w:r>
        <w:t>FTAAP</w:t>
      </w:r>
      <w:r>
        <w:rPr>
          <w:rFonts w:hint="eastAsia"/>
        </w:rPr>
        <w:t>的概念是在</w:t>
      </w:r>
      <w:r>
        <w:t xml:space="preserve">2004 </w:t>
      </w:r>
      <w:r>
        <w:rPr>
          <w:rFonts w:hint="eastAsia"/>
        </w:rPr>
        <w:t>年的亞太經合會（</w:t>
      </w:r>
      <w:r>
        <w:t>APEC</w:t>
      </w:r>
      <w:r>
        <w:rPr>
          <w:rFonts w:hint="eastAsia"/>
        </w:rPr>
        <w:t>）下之企業諮詢委員會（</w:t>
      </w:r>
      <w:r>
        <w:t>ABAC</w:t>
      </w:r>
      <w:r>
        <w:rPr>
          <w:rFonts w:hint="eastAsia"/>
        </w:rPr>
        <w:t>）中由加拿大所提出，當時企業界有鑑於區域內</w:t>
      </w:r>
      <w:r>
        <w:t>RTA</w:t>
      </w:r>
      <w:r>
        <w:rPr>
          <w:rFonts w:hint="eastAsia"/>
        </w:rPr>
        <w:t>與</w:t>
      </w:r>
      <w:r>
        <w:t>FTA</w:t>
      </w:r>
      <w:r>
        <w:rPr>
          <w:rFonts w:hint="eastAsia"/>
        </w:rPr>
        <w:t>重複太多以及</w:t>
      </w:r>
      <w:r>
        <w:t>WTO</w:t>
      </w:r>
      <w:r>
        <w:rPr>
          <w:rFonts w:hint="eastAsia"/>
        </w:rPr>
        <w:t>進度延宕，因此而提出此建議。</w:t>
      </w:r>
      <w:r>
        <w:t>APEC</w:t>
      </w:r>
      <w:r>
        <w:rPr>
          <w:rFonts w:hint="eastAsia"/>
        </w:rPr>
        <w:t>後續之</w:t>
      </w:r>
      <w:r>
        <w:t>2006</w:t>
      </w:r>
      <w:r>
        <w:rPr>
          <w:rFonts w:hint="eastAsia"/>
        </w:rPr>
        <w:t>年河內與</w:t>
      </w:r>
      <w:r>
        <w:t>2007</w:t>
      </w:r>
      <w:r>
        <w:rPr>
          <w:rFonts w:hint="eastAsia"/>
        </w:rPr>
        <w:t>年雪梨領袖會議因而指示進一步研究促進區域經濟整合之途並確認以建立</w:t>
      </w:r>
      <w:r>
        <w:t xml:space="preserve"> FTAAP </w:t>
      </w:r>
      <w:r>
        <w:rPr>
          <w:rFonts w:hint="eastAsia"/>
        </w:rPr>
        <w:t>為長期願景。</w:t>
      </w:r>
      <w:r>
        <w:t>2010</w:t>
      </w:r>
      <w:r>
        <w:rPr>
          <w:rFonts w:hint="eastAsia"/>
        </w:rPr>
        <w:t>年</w:t>
      </w:r>
      <w:r>
        <w:t>APEC</w:t>
      </w:r>
      <w:r>
        <w:rPr>
          <w:rFonts w:hint="eastAsia"/>
        </w:rPr>
        <w:t>橫濱領袖宣言更通過「達成</w:t>
      </w:r>
      <w:r>
        <w:t xml:space="preserve"> FTAAP </w:t>
      </w:r>
      <w:r>
        <w:rPr>
          <w:rFonts w:hint="eastAsia"/>
        </w:rPr>
        <w:t>之途徑（</w:t>
      </w:r>
      <w:r>
        <w:t>Pathways to FTAAP</w:t>
      </w:r>
      <w:r>
        <w:rPr>
          <w:rFonts w:hint="eastAsia"/>
        </w:rPr>
        <w:t>）」之重要文件，其中重點論及「達成</w:t>
      </w:r>
      <w:r>
        <w:t xml:space="preserve"> FTAAP </w:t>
      </w:r>
      <w:r>
        <w:rPr>
          <w:rFonts w:hint="eastAsia"/>
        </w:rPr>
        <w:t>的途徑包括持續發展區域內既有之</w:t>
      </w:r>
      <w:r>
        <w:t xml:space="preserve"> FTA</w:t>
      </w:r>
      <w:r>
        <w:rPr>
          <w:rFonts w:hint="eastAsia"/>
        </w:rPr>
        <w:t>，如</w:t>
      </w:r>
      <w:r>
        <w:t>TPP</w:t>
      </w:r>
      <w:r>
        <w:rPr>
          <w:rFonts w:hint="eastAsia"/>
        </w:rPr>
        <w:t>、</w:t>
      </w:r>
      <w:r>
        <w:t>ASEAN+3</w:t>
      </w:r>
      <w:r>
        <w:rPr>
          <w:rFonts w:hint="eastAsia"/>
        </w:rPr>
        <w:t>、</w:t>
      </w:r>
      <w:r>
        <w:t>ASEAN+6</w:t>
      </w:r>
      <w:r>
        <w:rPr>
          <w:rFonts w:hint="eastAsia"/>
        </w:rPr>
        <w:t>（現已為</w:t>
      </w:r>
      <w:r>
        <w:t>RCEP</w:t>
      </w:r>
      <w:r>
        <w:rPr>
          <w:rFonts w:hint="eastAsia"/>
        </w:rPr>
        <w:t>取代）等」。</w:t>
      </w:r>
      <w:r w:rsidRPr="006B17A1">
        <w:t xml:space="preserve">2014 </w:t>
      </w:r>
      <w:r w:rsidRPr="006B17A1">
        <w:rPr>
          <w:rFonts w:hint="eastAsia"/>
        </w:rPr>
        <w:t>年</w:t>
      </w:r>
      <w:r w:rsidRPr="006B17A1">
        <w:t>11</w:t>
      </w:r>
      <w:r w:rsidRPr="006B17A1">
        <w:rPr>
          <w:rFonts w:hint="eastAsia"/>
        </w:rPr>
        <w:t>月由中國大陸</w:t>
      </w:r>
      <w:r w:rsidR="006B17A1" w:rsidRPr="006B17A1">
        <w:rPr>
          <w:rFonts w:hint="eastAsia"/>
        </w:rPr>
        <w:t>主辦</w:t>
      </w:r>
      <w:r w:rsidRPr="006B17A1">
        <w:t xml:space="preserve"> APEC </w:t>
      </w:r>
      <w:r w:rsidRPr="006B17A1">
        <w:rPr>
          <w:rFonts w:hint="eastAsia"/>
        </w:rPr>
        <w:t>領袖會議，其更積極</w:t>
      </w:r>
      <w:r w:rsidR="006B17A1">
        <w:rPr>
          <w:rFonts w:hint="eastAsia"/>
        </w:rPr>
        <w:t>倡議</w:t>
      </w:r>
      <w:r w:rsidRPr="006B17A1">
        <w:rPr>
          <w:rFonts w:hint="eastAsia"/>
        </w:rPr>
        <w:t>推動</w:t>
      </w:r>
      <w:r w:rsidRPr="006B17A1">
        <w:t xml:space="preserve"> FTAAP </w:t>
      </w:r>
      <w:r w:rsidRPr="006B17A1">
        <w:rPr>
          <w:rFonts w:hint="eastAsia"/>
        </w:rPr>
        <w:t>具體成型，並提出</w:t>
      </w:r>
      <w:r w:rsidR="004556D7">
        <w:rPr>
          <w:rFonts w:hint="eastAsia"/>
        </w:rPr>
        <w:t>包括透明度分享、能力建構、達成路徑、及可行性研究四個具體分組</w:t>
      </w:r>
      <w:r w:rsidRPr="006B17A1">
        <w:rPr>
          <w:rFonts w:hint="eastAsia"/>
        </w:rPr>
        <w:t>。</w:t>
      </w:r>
      <w:r w:rsidR="004556D7">
        <w:rPr>
          <w:rFonts w:hint="eastAsia"/>
        </w:rPr>
        <w:t>最後會議決議針對</w:t>
      </w:r>
      <w:r w:rsidR="004556D7">
        <w:rPr>
          <w:rFonts w:hint="eastAsia"/>
        </w:rPr>
        <w:t>FTAAP</w:t>
      </w:r>
      <w:r w:rsidR="004556D7">
        <w:rPr>
          <w:rFonts w:hint="eastAsia"/>
        </w:rPr>
        <w:t>進行</w:t>
      </w:r>
      <w:r w:rsidR="004556D7" w:rsidRPr="004556D7">
        <w:rPr>
          <w:rFonts w:hint="eastAsia"/>
        </w:rPr>
        <w:t>「路線圖」</w:t>
      </w:r>
      <w:r w:rsidR="004556D7">
        <w:rPr>
          <w:rFonts w:hint="eastAsia"/>
        </w:rPr>
        <w:t>的戰略研究</w:t>
      </w:r>
      <w:r w:rsidR="004556D7" w:rsidRPr="004556D7">
        <w:rPr>
          <w:rFonts w:hint="eastAsia"/>
        </w:rPr>
        <w:t>，並定於</w:t>
      </w:r>
      <w:r w:rsidR="004556D7" w:rsidRPr="004556D7">
        <w:rPr>
          <w:rFonts w:hint="eastAsia"/>
        </w:rPr>
        <w:t>2016</w:t>
      </w:r>
      <w:r w:rsidR="004556D7" w:rsidRPr="004556D7">
        <w:rPr>
          <w:rFonts w:hint="eastAsia"/>
        </w:rPr>
        <w:t>年提出報告</w:t>
      </w:r>
      <w:r w:rsidR="004556D7">
        <w:rPr>
          <w:rFonts w:hint="eastAsia"/>
        </w:rPr>
        <w:t>。</w:t>
      </w:r>
    </w:p>
    <w:p w:rsidR="00FC7402" w:rsidRDefault="00DB0C74" w:rsidP="00FC7402">
      <w:pPr>
        <w:pStyle w:val="-"/>
        <w:spacing w:before="108" w:after="108"/>
        <w:ind w:firstLine="520"/>
      </w:pPr>
      <w:r>
        <w:rPr>
          <w:rFonts w:hint="eastAsia"/>
        </w:rPr>
        <w:t>外界認為</w:t>
      </w:r>
      <w:r w:rsidRPr="009A4649">
        <w:rPr>
          <w:rFonts w:hint="eastAsia"/>
        </w:rPr>
        <w:t>中國</w:t>
      </w:r>
      <w:r>
        <w:rPr>
          <w:rFonts w:hint="eastAsia"/>
        </w:rPr>
        <w:t>大陸積極</w:t>
      </w:r>
      <w:r w:rsidRPr="009A4649">
        <w:rPr>
          <w:rFonts w:hint="eastAsia"/>
        </w:rPr>
        <w:t>倡議</w:t>
      </w:r>
      <w:r w:rsidRPr="009A4649">
        <w:t>FTAAP</w:t>
      </w:r>
      <w:r>
        <w:rPr>
          <w:rFonts w:hint="eastAsia"/>
        </w:rPr>
        <w:t>有其</w:t>
      </w:r>
      <w:r w:rsidRPr="009A4649">
        <w:rPr>
          <w:rFonts w:hint="eastAsia"/>
        </w:rPr>
        <w:t>針對</w:t>
      </w:r>
      <w:r>
        <w:rPr>
          <w:rFonts w:hint="eastAsia"/>
        </w:rPr>
        <w:t>美國主導之</w:t>
      </w:r>
      <w:r w:rsidRPr="009A4649">
        <w:t>TPP</w:t>
      </w:r>
      <w:r>
        <w:rPr>
          <w:rFonts w:hint="eastAsia"/>
        </w:rPr>
        <w:t>的意圖</w:t>
      </w:r>
      <w:r w:rsidRPr="009A4649">
        <w:rPr>
          <w:rFonts w:hint="eastAsia"/>
        </w:rPr>
        <w:t>。</w:t>
      </w:r>
      <w:r>
        <w:rPr>
          <w:rFonts w:hint="eastAsia"/>
        </w:rPr>
        <w:t>儘管</w:t>
      </w:r>
      <w:r w:rsidRPr="009A4649">
        <w:rPr>
          <w:rFonts w:hint="eastAsia"/>
        </w:rPr>
        <w:t>中國</w:t>
      </w:r>
      <w:r>
        <w:rPr>
          <w:rFonts w:hint="eastAsia"/>
        </w:rPr>
        <w:t>大陸已主導</w:t>
      </w:r>
      <w:r w:rsidRPr="009A4649">
        <w:t>RCEP</w:t>
      </w:r>
      <w:r>
        <w:rPr>
          <w:rFonts w:hint="eastAsia"/>
        </w:rPr>
        <w:t>的推進</w:t>
      </w:r>
      <w:r w:rsidRPr="009A4649">
        <w:rPr>
          <w:rFonts w:hint="eastAsia"/>
        </w:rPr>
        <w:t>，但</w:t>
      </w:r>
      <w:r w:rsidRPr="009A4649">
        <w:t>RCEP</w:t>
      </w:r>
      <w:r>
        <w:rPr>
          <w:rFonts w:hint="eastAsia"/>
        </w:rPr>
        <w:t>與</w:t>
      </w:r>
      <w:r>
        <w:t>TPP</w:t>
      </w:r>
      <w:r>
        <w:rPr>
          <w:rFonts w:hint="eastAsia"/>
        </w:rPr>
        <w:t>是性質與成員差異大的協定</w:t>
      </w:r>
      <w:r w:rsidRPr="009A4649">
        <w:rPr>
          <w:rFonts w:hint="eastAsia"/>
        </w:rPr>
        <w:t>，且</w:t>
      </w:r>
      <w:r>
        <w:rPr>
          <w:rFonts w:hint="eastAsia"/>
        </w:rPr>
        <w:t>其</w:t>
      </w:r>
      <w:r w:rsidRPr="009A4649">
        <w:rPr>
          <w:rFonts w:hint="eastAsia"/>
        </w:rPr>
        <w:t>對</w:t>
      </w:r>
      <w:r>
        <w:rPr>
          <w:rFonts w:hint="eastAsia"/>
        </w:rPr>
        <w:t>於</w:t>
      </w:r>
      <w:r w:rsidRPr="009A4649">
        <w:rPr>
          <w:rFonts w:hint="eastAsia"/>
        </w:rPr>
        <w:t>中國</w:t>
      </w:r>
      <w:r>
        <w:rPr>
          <w:rFonts w:hint="eastAsia"/>
        </w:rPr>
        <w:t>大陸之</w:t>
      </w:r>
      <w:r w:rsidRPr="009A4649">
        <w:rPr>
          <w:rFonts w:hint="eastAsia"/>
        </w:rPr>
        <w:t>影響</w:t>
      </w:r>
      <w:r>
        <w:rPr>
          <w:rFonts w:hint="eastAsia"/>
        </w:rPr>
        <w:t>屬於不同</w:t>
      </w:r>
      <w:r w:rsidRPr="009A4649">
        <w:rPr>
          <w:rFonts w:hint="eastAsia"/>
        </w:rPr>
        <w:t>層次</w:t>
      </w:r>
      <w:r>
        <w:rPr>
          <w:rFonts w:hint="eastAsia"/>
        </w:rPr>
        <w:t>，</w:t>
      </w:r>
      <w:r w:rsidRPr="009A4649">
        <w:rPr>
          <w:rFonts w:hint="eastAsia"/>
        </w:rPr>
        <w:t>因此，</w:t>
      </w:r>
      <w:r>
        <w:t>FTAAP</w:t>
      </w:r>
      <w:r>
        <w:rPr>
          <w:rFonts w:hint="eastAsia"/>
        </w:rPr>
        <w:t>成為</w:t>
      </w:r>
      <w:r w:rsidRPr="009A4649">
        <w:rPr>
          <w:rFonts w:hint="eastAsia"/>
        </w:rPr>
        <w:t>中國</w:t>
      </w:r>
      <w:r>
        <w:rPr>
          <w:rFonts w:hint="eastAsia"/>
        </w:rPr>
        <w:t>大陸在</w:t>
      </w:r>
      <w:r>
        <w:t>RCEP</w:t>
      </w:r>
      <w:r>
        <w:rPr>
          <w:rFonts w:hint="eastAsia"/>
        </w:rPr>
        <w:t>外</w:t>
      </w:r>
      <w:r w:rsidRPr="009A4649">
        <w:rPr>
          <w:rFonts w:hint="eastAsia"/>
        </w:rPr>
        <w:t>另</w:t>
      </w:r>
      <w:r>
        <w:rPr>
          <w:rFonts w:hint="eastAsia"/>
        </w:rPr>
        <w:t>闢之因應美國</w:t>
      </w:r>
      <w:r>
        <w:t>TPP</w:t>
      </w:r>
      <w:r>
        <w:rPr>
          <w:rFonts w:hint="eastAsia"/>
        </w:rPr>
        <w:t>的戰場</w:t>
      </w:r>
      <w:r w:rsidRPr="009A4649">
        <w:rPr>
          <w:rFonts w:hint="eastAsia"/>
        </w:rPr>
        <w:t>。</w:t>
      </w:r>
      <w:r>
        <w:rPr>
          <w:rFonts w:hint="eastAsia"/>
        </w:rPr>
        <w:t>當然，中國大陸雖然積極，但畢竟</w:t>
      </w:r>
      <w:r>
        <w:t>APEC</w:t>
      </w:r>
      <w:r>
        <w:rPr>
          <w:rFonts w:hint="eastAsia"/>
        </w:rPr>
        <w:t>仍是多方大國角力之場域，亦難稱是由中國大陸所能主導的</w:t>
      </w:r>
      <w:r w:rsidRPr="009A4649">
        <w:rPr>
          <w:rFonts w:hint="eastAsia"/>
        </w:rPr>
        <w:t>。</w:t>
      </w:r>
    </w:p>
    <w:p w:rsidR="00FC7402" w:rsidRPr="00CB60B3" w:rsidRDefault="00DB0C74" w:rsidP="00FC7402">
      <w:pPr>
        <w:pStyle w:val="-"/>
        <w:spacing w:before="108" w:after="108"/>
        <w:ind w:firstLine="520"/>
      </w:pPr>
      <w:r>
        <w:rPr>
          <w:rFonts w:hint="eastAsia"/>
        </w:rPr>
        <w:t>推動</w:t>
      </w:r>
      <w:r>
        <w:t>FTAAP</w:t>
      </w:r>
      <w:r>
        <w:rPr>
          <w:rFonts w:hint="eastAsia"/>
        </w:rPr>
        <w:t>的可行性研究，顯示了中國大陸積極擴張區域經貿的意志力在增強。但儘管</w:t>
      </w:r>
      <w:r>
        <w:t>FTAAP</w:t>
      </w:r>
      <w:r>
        <w:rPr>
          <w:rFonts w:hint="eastAsia"/>
        </w:rPr>
        <w:t>為</w:t>
      </w:r>
      <w:r>
        <w:t>APEC</w:t>
      </w:r>
      <w:r>
        <w:rPr>
          <w:rFonts w:hint="eastAsia"/>
        </w:rPr>
        <w:t>下組織，我國身為會員國，即是</w:t>
      </w:r>
      <w:r>
        <w:t>FTAAP</w:t>
      </w:r>
      <w:r>
        <w:rPr>
          <w:rFonts w:hint="eastAsia"/>
        </w:rPr>
        <w:lastRenderedPageBreak/>
        <w:t>的當然成員，但屆時若</w:t>
      </w:r>
      <w:r>
        <w:t>FTAAP</w:t>
      </w:r>
      <w:r>
        <w:rPr>
          <w:rFonts w:hint="eastAsia"/>
        </w:rPr>
        <w:t>成立後，在貨品關稅減免以及農產品和服務市場開放方面，也將被迫對中國大陸「彼此開放、一體適用」。此外，</w:t>
      </w:r>
      <w:r>
        <w:t>FTAAP</w:t>
      </w:r>
      <w:r>
        <w:rPr>
          <w:rFonts w:hint="eastAsia"/>
        </w:rPr>
        <w:t>的主要成員包括美、日、</w:t>
      </w:r>
      <w:r w:rsidR="00196463">
        <w:rPr>
          <w:rFonts w:hint="eastAsia"/>
        </w:rPr>
        <w:t>「</w:t>
      </w:r>
      <w:r w:rsidRPr="00196463">
        <w:rPr>
          <w:rFonts w:hint="eastAsia"/>
        </w:rPr>
        <w:t>中</w:t>
      </w:r>
      <w:r w:rsidR="00196463" w:rsidRPr="00196463">
        <w:rPr>
          <w:rFonts w:hint="eastAsia"/>
        </w:rPr>
        <w:t>」</w:t>
      </w:r>
      <w:r>
        <w:rPr>
          <w:rFonts w:hint="eastAsia"/>
        </w:rPr>
        <w:t>、俄等</w:t>
      </w:r>
      <w:r>
        <w:t>21</w:t>
      </w:r>
      <w:r>
        <w:rPr>
          <w:rFonts w:hint="eastAsia"/>
        </w:rPr>
        <w:t>個國家，各方大國經濟利益摻雜政治因素，須長期磨合才有可能完成</w:t>
      </w:r>
      <w:r w:rsidR="00196463">
        <w:rPr>
          <w:rStyle w:val="aff0"/>
        </w:rPr>
        <w:footnoteReference w:id="29"/>
      </w:r>
      <w:r>
        <w:rPr>
          <w:rFonts w:hint="eastAsia"/>
        </w:rPr>
        <w:t>。</w:t>
      </w:r>
    </w:p>
    <w:p w:rsidR="00FC7402" w:rsidRDefault="00DB0C74" w:rsidP="00FC7402">
      <w:pPr>
        <w:pStyle w:val="-"/>
        <w:spacing w:before="108" w:after="108"/>
        <w:ind w:firstLine="520"/>
      </w:pPr>
      <w:r>
        <w:rPr>
          <w:rFonts w:hint="eastAsia"/>
        </w:rPr>
        <w:t>根據以上所論述之區域經貿進程，在在顯示中國大陸對區域經濟整合更趨積極與主動，彰顯出區域經貿整合是習李對外經貿新戰略，甚至是對外整體戰略中相當重要的一環。而我國在此一趨勢展下，要採取何種策略來推進未來之經貿發展，以下首先檢視中國大陸近來對我國參與國際區域經貿安排之態度與立場。</w:t>
      </w:r>
    </w:p>
    <w:p w:rsidR="00FC7402" w:rsidRPr="00136805" w:rsidRDefault="00DB0C74" w:rsidP="00FC7402">
      <w:pPr>
        <w:pStyle w:val="3"/>
        <w:spacing w:beforeLines="100" w:before="360" w:after="72"/>
        <w:rPr>
          <w:rFonts w:ascii="Times New Roman" w:hAnsi="Times New Roman"/>
        </w:rPr>
      </w:pPr>
      <w:r w:rsidRPr="00FF2717">
        <w:rPr>
          <w:rFonts w:ascii="Times New Roman" w:hAnsi="Times New Roman" w:hint="eastAsia"/>
        </w:rPr>
        <w:t>貳、中國大陸對</w:t>
      </w:r>
      <w:r w:rsidR="00DE1D40">
        <w:rPr>
          <w:rFonts w:ascii="Times New Roman" w:hAnsi="Times New Roman" w:hint="eastAsia"/>
        </w:rPr>
        <w:t>臺</w:t>
      </w:r>
      <w:r w:rsidRPr="00FF2717">
        <w:rPr>
          <w:rFonts w:ascii="Times New Roman" w:hAnsi="Times New Roman" w:hint="eastAsia"/>
        </w:rPr>
        <w:t>灣參與區域經貿之態度</w:t>
      </w:r>
    </w:p>
    <w:p w:rsidR="00FC7402" w:rsidRDefault="00DB0C74" w:rsidP="00FC7402">
      <w:pPr>
        <w:pStyle w:val="-"/>
        <w:spacing w:before="108" w:after="108"/>
        <w:ind w:firstLine="520"/>
      </w:pPr>
      <w:r>
        <w:rPr>
          <w:rFonts w:hint="eastAsia"/>
        </w:rPr>
        <w:t>以上我們可以看到中國大陸從戰略性的絲綢之路，到經貿性質的區域經貿整合，都顯示出習李時代已經走向積極對外經營、擴大國際影響力以提升</w:t>
      </w:r>
      <w:r w:rsidR="00E12C08">
        <w:rPr>
          <w:rFonts w:hint="eastAsia"/>
        </w:rPr>
        <w:t>中國大陸</w:t>
      </w:r>
      <w:r>
        <w:rPr>
          <w:rFonts w:hint="eastAsia"/>
        </w:rPr>
        <w:t>國家整體實力的階段。而在中國大陸越來越國際化的同時，基於兩岸的特殊因素，自然會成為我國未來持續在國際場域，尤其是在經貿場域生存發展上，越來越須要面對的趨勢。近來馬英九總統宣誓要加速推動我國加入</w:t>
      </w:r>
      <w:r>
        <w:t>TPP</w:t>
      </w:r>
      <w:r>
        <w:rPr>
          <w:rFonts w:hint="eastAsia"/>
        </w:rPr>
        <w:t>與</w:t>
      </w:r>
      <w:r>
        <w:t>RCEP</w:t>
      </w:r>
      <w:r>
        <w:rPr>
          <w:rFonts w:hint="eastAsia"/>
        </w:rPr>
        <w:t>的各項工作，以避免我國加速在國際與區域經貿領域被邊緣化，中國大陸如何看待我國加入區域經貿整合，十分值得探究。</w:t>
      </w:r>
    </w:p>
    <w:p w:rsidR="00FC7402" w:rsidRPr="00C74F59" w:rsidRDefault="00DB0C74" w:rsidP="00FC7402">
      <w:pPr>
        <w:pStyle w:val="-"/>
        <w:spacing w:before="108" w:after="108"/>
        <w:ind w:firstLine="520"/>
      </w:pPr>
      <w:r>
        <w:rPr>
          <w:rFonts w:hint="eastAsia"/>
        </w:rPr>
        <w:t>由於此一議題涉及兩岸政治關係，我們可以首先回顧胡錦濤在</w:t>
      </w:r>
      <w:r>
        <w:t>2012</w:t>
      </w:r>
      <w:r>
        <w:rPr>
          <w:rFonts w:hint="eastAsia"/>
        </w:rPr>
        <w:t>年</w:t>
      </w:r>
      <w:r>
        <w:t>11</w:t>
      </w:r>
      <w:r>
        <w:rPr>
          <w:rFonts w:hint="eastAsia"/>
        </w:rPr>
        <w:t>月的「十八大」之</w:t>
      </w:r>
      <w:r w:rsidRPr="009919F5">
        <w:rPr>
          <w:rFonts w:hint="eastAsia"/>
        </w:rPr>
        <w:t>報告中，首度提出「希望雙方共同努力，探討國家尚未統一特殊情況下的兩岸政治關係，做出合情合理安排」。</w:t>
      </w:r>
      <w:r>
        <w:t>2014</w:t>
      </w:r>
      <w:r>
        <w:rPr>
          <w:rFonts w:hint="eastAsia"/>
        </w:rPr>
        <w:t>年</w:t>
      </w:r>
      <w:r w:rsidRPr="009919F5">
        <w:rPr>
          <w:rFonts w:hint="eastAsia"/>
        </w:rPr>
        <w:t>初</w:t>
      </w:r>
      <w:r>
        <w:rPr>
          <w:rFonts w:hint="eastAsia"/>
        </w:rPr>
        <w:t>，</w:t>
      </w:r>
      <w:r w:rsidRPr="009919F5">
        <w:rPr>
          <w:rFonts w:hint="eastAsia"/>
        </w:rPr>
        <w:t>習近平亦表示願就兩岸長期存在的政治分歧和</w:t>
      </w:r>
      <w:r w:rsidR="00DE1D40">
        <w:rPr>
          <w:rFonts w:hint="eastAsia"/>
        </w:rPr>
        <w:t>臺</w:t>
      </w:r>
      <w:r w:rsidRPr="009919F5">
        <w:rPr>
          <w:rFonts w:hint="eastAsia"/>
        </w:rPr>
        <w:t>灣平等協商，做出合情合理安排。</w:t>
      </w:r>
      <w:r>
        <w:rPr>
          <w:rFonts w:hint="eastAsia"/>
        </w:rPr>
        <w:t>或許因為如此，兩岸自</w:t>
      </w:r>
      <w:r>
        <w:t>2010</w:t>
      </w:r>
      <w:r>
        <w:rPr>
          <w:rFonts w:hint="eastAsia"/>
        </w:rPr>
        <w:t>年簽訂</w:t>
      </w:r>
      <w:r>
        <w:t>ECFA</w:t>
      </w:r>
      <w:r>
        <w:rPr>
          <w:rFonts w:hint="eastAsia"/>
        </w:rPr>
        <w:t>之後，我國陸續於</w:t>
      </w:r>
      <w:r>
        <w:t>2013</w:t>
      </w:r>
      <w:r>
        <w:rPr>
          <w:rFonts w:hint="eastAsia"/>
        </w:rPr>
        <w:t>年與紐西蘭、新加坡簽訂自由貿易協定，成為我國與非邦交國與已開發國</w:t>
      </w:r>
      <w:r>
        <w:rPr>
          <w:rFonts w:hint="eastAsia"/>
        </w:rPr>
        <w:lastRenderedPageBreak/>
        <w:t>家簽訂</w:t>
      </w:r>
      <w:r>
        <w:t>FTA</w:t>
      </w:r>
      <w:r>
        <w:rPr>
          <w:rFonts w:hint="eastAsia"/>
        </w:rPr>
        <w:t>的先聲。然而，自</w:t>
      </w:r>
      <w:r>
        <w:t>2014</w:t>
      </w:r>
      <w:r>
        <w:rPr>
          <w:rFonts w:hint="eastAsia"/>
        </w:rPr>
        <w:t>年</w:t>
      </w:r>
      <w:r>
        <w:t>3</w:t>
      </w:r>
      <w:r>
        <w:rPr>
          <w:rFonts w:hint="eastAsia"/>
        </w:rPr>
        <w:t>月，由兩岸服貿協議引發了</w:t>
      </w:r>
      <w:r w:rsidR="0004649C">
        <w:rPr>
          <w:rFonts w:hint="eastAsia"/>
        </w:rPr>
        <w:t>318</w:t>
      </w:r>
      <w:r w:rsidRPr="00C74F59">
        <w:rPr>
          <w:rFonts w:hint="eastAsia"/>
        </w:rPr>
        <w:t>學運之後，此一事件除了讓服貿協議無法生效之外，更對於兩岸互動與後續經貿談判造成影響，讓中國大陸開始意識到必須更全面地瞭解</w:t>
      </w:r>
      <w:r w:rsidR="00DE1D40" w:rsidRPr="00C74F59">
        <w:rPr>
          <w:rFonts w:hint="eastAsia"/>
        </w:rPr>
        <w:t>臺</w:t>
      </w:r>
      <w:r w:rsidRPr="00C74F59">
        <w:rPr>
          <w:rFonts w:hint="eastAsia"/>
        </w:rPr>
        <w:t>灣各階層的想法。</w:t>
      </w:r>
    </w:p>
    <w:p w:rsidR="00FC7402" w:rsidRPr="00C74F59" w:rsidRDefault="00DB0C74" w:rsidP="00FC7402">
      <w:pPr>
        <w:pStyle w:val="-"/>
        <w:spacing w:before="108" w:after="108"/>
        <w:ind w:firstLine="520"/>
      </w:pPr>
      <w:r w:rsidRPr="00C74F59">
        <w:t>2014</w:t>
      </w:r>
      <w:r w:rsidRPr="00C74F59">
        <w:rPr>
          <w:rFonts w:hint="eastAsia"/>
        </w:rPr>
        <w:t>年</w:t>
      </w:r>
      <w:r w:rsidRPr="00C74F59">
        <w:t>6</w:t>
      </w:r>
      <w:r w:rsidRPr="00C74F59">
        <w:rPr>
          <w:rFonts w:hint="eastAsia"/>
        </w:rPr>
        <w:t>月的「王張會」之後，</w:t>
      </w:r>
      <w:r w:rsidR="003D6C5C" w:rsidRPr="00C74F59">
        <w:rPr>
          <w:rFonts w:hint="eastAsia"/>
        </w:rPr>
        <w:t>中國大陸</w:t>
      </w:r>
      <w:r w:rsidRPr="00C74F59">
        <w:rPr>
          <w:rFonts w:hint="eastAsia"/>
        </w:rPr>
        <w:t>國</w:t>
      </w:r>
      <w:r w:rsidR="00DE1D40" w:rsidRPr="00C74F59">
        <w:rPr>
          <w:rFonts w:hint="eastAsia"/>
        </w:rPr>
        <w:t>臺</w:t>
      </w:r>
      <w:r w:rsidRPr="00C74F59">
        <w:rPr>
          <w:rFonts w:hint="eastAsia"/>
        </w:rPr>
        <w:t>辦主任張志軍表示願針對</w:t>
      </w:r>
      <w:r w:rsidR="00DE1D40" w:rsidRPr="00C74F59">
        <w:rPr>
          <w:rFonts w:hint="eastAsia"/>
        </w:rPr>
        <w:t>臺</w:t>
      </w:r>
      <w:r w:rsidRPr="00C74F59">
        <w:rPr>
          <w:rFonts w:hint="eastAsia"/>
        </w:rPr>
        <w:t>灣參與區域經濟整合，展開兩岸共同研究工作。之後，國</w:t>
      </w:r>
      <w:r w:rsidR="00DE1D40" w:rsidRPr="00C74F59">
        <w:rPr>
          <w:rFonts w:hint="eastAsia"/>
        </w:rPr>
        <w:t>臺</w:t>
      </w:r>
      <w:r w:rsidRPr="00C74F59">
        <w:rPr>
          <w:rFonts w:hint="eastAsia"/>
        </w:rPr>
        <w:t>辦發言人馬曉光也表示，雙方同意儘快啟動共同研究工作，務實探討兩岸經濟共同發展與區域經濟合作進程相銜接的適當方式和可行途徑。由於時值我國政府大力推動加入</w:t>
      </w:r>
      <w:r w:rsidRPr="00C74F59">
        <w:t>TPP</w:t>
      </w:r>
      <w:r w:rsidRPr="00C74F59">
        <w:rPr>
          <w:rFonts w:hint="eastAsia"/>
        </w:rPr>
        <w:t>與</w:t>
      </w:r>
      <w:r w:rsidRPr="00C74F59">
        <w:t>RCEP</w:t>
      </w:r>
      <w:r w:rsidR="00BC421E" w:rsidRPr="00C74F59">
        <w:rPr>
          <w:rFonts w:hint="eastAsia"/>
        </w:rPr>
        <w:t>之際，陸方之說法也被外界視為中國大陸對於</w:t>
      </w:r>
      <w:r w:rsidR="00DE1D40" w:rsidRPr="00C74F59">
        <w:rPr>
          <w:rFonts w:hint="eastAsia"/>
        </w:rPr>
        <w:t>臺</w:t>
      </w:r>
      <w:r w:rsidRPr="00C74F59">
        <w:rPr>
          <w:rFonts w:hint="eastAsia"/>
        </w:rPr>
        <w:t>灣加入</w:t>
      </w:r>
      <w:r w:rsidRPr="00C74F59">
        <w:t>TPP</w:t>
      </w:r>
      <w:r w:rsidRPr="00C74F59">
        <w:rPr>
          <w:rFonts w:hint="eastAsia"/>
        </w:rPr>
        <w:t>、</w:t>
      </w:r>
      <w:r w:rsidRPr="00C74F59">
        <w:t>RCEP</w:t>
      </w:r>
      <w:r w:rsidRPr="00C74F59">
        <w:rPr>
          <w:rFonts w:hint="eastAsia"/>
        </w:rPr>
        <w:t>甚至</w:t>
      </w:r>
      <w:r w:rsidRPr="00C74F59">
        <w:t>FTAAP</w:t>
      </w:r>
      <w:r w:rsidRPr="00C74F59">
        <w:rPr>
          <w:rFonts w:hint="eastAsia"/>
        </w:rPr>
        <w:t>的</w:t>
      </w:r>
      <w:r w:rsidR="00BC421E" w:rsidRPr="00C74F59">
        <w:rPr>
          <w:rFonts w:hint="eastAsia"/>
        </w:rPr>
        <w:t>善意</w:t>
      </w:r>
      <w:r w:rsidRPr="00C74F59">
        <w:rPr>
          <w:rFonts w:hint="eastAsia"/>
        </w:rPr>
        <w:t>表達。然而，此一原則性說法並不能過度樂觀，因為即使僅是共同研究如何進行，雙方認知就仍有差距，或許也是造成迄今為止尚未有正式啟動的消息之故</w:t>
      </w:r>
      <w:r w:rsidR="00196463" w:rsidRPr="00C74F59">
        <w:rPr>
          <w:rStyle w:val="aff0"/>
        </w:rPr>
        <w:footnoteReference w:id="30"/>
      </w:r>
      <w:r w:rsidRPr="00C74F59">
        <w:rPr>
          <w:rFonts w:hint="eastAsia"/>
        </w:rPr>
        <w:t>。</w:t>
      </w:r>
      <w:r w:rsidR="0004649C" w:rsidRPr="00C74F59">
        <w:rPr>
          <w:rFonts w:hint="eastAsia"/>
        </w:rPr>
        <w:t>此外，特別是</w:t>
      </w:r>
      <w:r w:rsidR="0004649C" w:rsidRPr="00C74F59">
        <w:rPr>
          <w:rFonts w:hint="eastAsia"/>
        </w:rPr>
        <w:t>318</w:t>
      </w:r>
      <w:r w:rsidR="0004649C" w:rsidRPr="00C74F59">
        <w:rPr>
          <w:rFonts w:hint="eastAsia"/>
        </w:rPr>
        <w:t>學運後，國際情勢</w:t>
      </w:r>
      <w:r w:rsidR="003D6C5C" w:rsidRPr="00C74F59">
        <w:rPr>
          <w:rFonts w:hint="eastAsia"/>
        </w:rPr>
        <w:t>演變，加以</w:t>
      </w:r>
      <w:r w:rsidR="004E6E5B" w:rsidRPr="00C74F59">
        <w:rPr>
          <w:rFonts w:hint="eastAsia"/>
        </w:rPr>
        <w:t>2014</w:t>
      </w:r>
      <w:r w:rsidR="004E6E5B" w:rsidRPr="00C74F59">
        <w:rPr>
          <w:rFonts w:hint="eastAsia"/>
        </w:rPr>
        <w:t>年北京</w:t>
      </w:r>
      <w:r w:rsidR="004E6E5B" w:rsidRPr="00C74F59">
        <w:rPr>
          <w:rFonts w:hint="eastAsia"/>
        </w:rPr>
        <w:t>APEC</w:t>
      </w:r>
      <w:r w:rsidR="004E6E5B" w:rsidRPr="00C74F59">
        <w:rPr>
          <w:rFonts w:hint="eastAsia"/>
        </w:rPr>
        <w:t>會議所透露之各項</w:t>
      </w:r>
      <w:r w:rsidR="003D6C5C" w:rsidRPr="00C74F59">
        <w:rPr>
          <w:rFonts w:hint="eastAsia"/>
        </w:rPr>
        <w:t>訊息</w:t>
      </w:r>
      <w:r w:rsidR="004E6E5B" w:rsidRPr="00C74F59">
        <w:rPr>
          <w:rFonts w:hint="eastAsia"/>
        </w:rPr>
        <w:t>，</w:t>
      </w:r>
      <w:r w:rsidR="003D6C5C" w:rsidRPr="00C74F59">
        <w:rPr>
          <w:rFonts w:hint="eastAsia"/>
        </w:rPr>
        <w:t>顯示</w:t>
      </w:r>
      <w:r w:rsidR="0004649C" w:rsidRPr="00C74F59">
        <w:rPr>
          <w:rFonts w:hint="eastAsia"/>
        </w:rPr>
        <w:t>中國大陸對臺政策</w:t>
      </w:r>
      <w:r w:rsidR="00BC421E" w:rsidRPr="00C74F59">
        <w:rPr>
          <w:rFonts w:hint="eastAsia"/>
        </w:rPr>
        <w:t>已</w:t>
      </w:r>
      <w:r w:rsidR="0004649C" w:rsidRPr="00C74F59">
        <w:rPr>
          <w:rFonts w:hint="eastAsia"/>
        </w:rPr>
        <w:t>有所微調，臺灣</w:t>
      </w:r>
      <w:r w:rsidR="00BC421E" w:rsidRPr="00C74F59">
        <w:rPr>
          <w:rFonts w:hint="eastAsia"/>
        </w:rPr>
        <w:t>議題在中共中央各項對外政策中的</w:t>
      </w:r>
      <w:r w:rsidR="0004649C" w:rsidRPr="00C74F59">
        <w:rPr>
          <w:rFonts w:hint="eastAsia"/>
        </w:rPr>
        <w:t>重要性相對降低，兩岸協商</w:t>
      </w:r>
      <w:r w:rsidR="00BC421E" w:rsidRPr="00C74F59">
        <w:rPr>
          <w:rFonts w:hint="eastAsia"/>
        </w:rPr>
        <w:t>也被暫時擱置，優先性不若以往。</w:t>
      </w:r>
    </w:p>
    <w:p w:rsidR="00FC7402" w:rsidRPr="00C74F59" w:rsidRDefault="00DB0C74" w:rsidP="00FC7402">
      <w:pPr>
        <w:pStyle w:val="-"/>
        <w:spacing w:before="108" w:after="108"/>
        <w:ind w:firstLine="520"/>
      </w:pPr>
      <w:r w:rsidRPr="00C74F59">
        <w:rPr>
          <w:rFonts w:hint="eastAsia"/>
        </w:rPr>
        <w:t>更且，</w:t>
      </w:r>
      <w:r w:rsidRPr="00C74F59">
        <w:t>2014</w:t>
      </w:r>
      <w:r w:rsidRPr="00C74F59">
        <w:rPr>
          <w:rFonts w:hint="eastAsia"/>
        </w:rPr>
        <w:t>年</w:t>
      </w:r>
      <w:r w:rsidRPr="00C74F59">
        <w:t>8</w:t>
      </w:r>
      <w:r w:rsidRPr="00C74F59">
        <w:rPr>
          <w:rFonts w:hint="eastAsia"/>
        </w:rPr>
        <w:t>月中國大陸駐馬來西亞大使黃惠康公開表示，反對馬來西亞與</w:t>
      </w:r>
      <w:r w:rsidR="00DE1D40" w:rsidRPr="00C74F59">
        <w:rPr>
          <w:rFonts w:hint="eastAsia"/>
        </w:rPr>
        <w:t>臺</w:t>
      </w:r>
      <w:r w:rsidRPr="00C74F59">
        <w:rPr>
          <w:rFonts w:hint="eastAsia"/>
        </w:rPr>
        <w:t>灣簽署</w:t>
      </w:r>
      <w:r w:rsidRPr="00C74F59">
        <w:t>FTA</w:t>
      </w:r>
      <w:r w:rsidR="00196463" w:rsidRPr="00C74F59">
        <w:rPr>
          <w:rStyle w:val="aff0"/>
        </w:rPr>
        <w:footnoteReference w:id="31"/>
      </w:r>
      <w:r w:rsidRPr="00C74F59">
        <w:rPr>
          <w:rFonts w:hint="eastAsia"/>
        </w:rPr>
        <w:t>；</w:t>
      </w:r>
      <w:r w:rsidRPr="00C74F59">
        <w:t xml:space="preserve"> 2014</w:t>
      </w:r>
      <w:r w:rsidRPr="00C74F59">
        <w:rPr>
          <w:rFonts w:hint="eastAsia"/>
        </w:rPr>
        <w:t>年</w:t>
      </w:r>
      <w:r w:rsidRPr="00C74F59">
        <w:t>10</w:t>
      </w:r>
      <w:r w:rsidRPr="00C74F59">
        <w:rPr>
          <w:rFonts w:hint="eastAsia"/>
        </w:rPr>
        <w:t>月又傳出臺灣與澳洲的</w:t>
      </w:r>
      <w:r w:rsidRPr="00C74F59">
        <w:t>FTA</w:t>
      </w:r>
      <w:r w:rsidRPr="00C74F59">
        <w:rPr>
          <w:rFonts w:hint="eastAsia"/>
        </w:rPr>
        <w:t>簽署受中國大陸私下阻撓等</w:t>
      </w:r>
      <w:r w:rsidR="00196463" w:rsidRPr="00C74F59">
        <w:rPr>
          <w:rStyle w:val="aff0"/>
        </w:rPr>
        <w:footnoteReference w:id="32"/>
      </w:r>
      <w:r w:rsidRPr="00C74F59">
        <w:rPr>
          <w:rFonts w:hint="eastAsia"/>
        </w:rPr>
        <w:t>，更加顯示出我國對外</w:t>
      </w:r>
      <w:r w:rsidR="00DE5B34" w:rsidRPr="00C74F59">
        <w:rPr>
          <w:rFonts w:hint="eastAsia"/>
        </w:rPr>
        <w:t>簽署</w:t>
      </w:r>
      <w:r w:rsidRPr="00C74F59">
        <w:t>FTA</w:t>
      </w:r>
      <w:r w:rsidRPr="00C74F59">
        <w:rPr>
          <w:rFonts w:hint="eastAsia"/>
        </w:rPr>
        <w:t>或</w:t>
      </w:r>
      <w:r w:rsidRPr="00C74F59">
        <w:t>RTA</w:t>
      </w:r>
      <w:r w:rsidRPr="00C74F59">
        <w:rPr>
          <w:rFonts w:hint="eastAsia"/>
        </w:rPr>
        <w:t>之困難</w:t>
      </w:r>
      <w:r w:rsidR="00DE5B34" w:rsidRPr="00C74F59">
        <w:rPr>
          <w:rFonts w:hint="eastAsia"/>
        </w:rPr>
        <w:t>重重</w:t>
      </w:r>
      <w:r w:rsidRPr="00C74F59">
        <w:rPr>
          <w:rFonts w:hint="eastAsia"/>
        </w:rPr>
        <w:t>，除了所有自由貿易都要面對的國內產業衝擊之外，中國大陸日益擴大的國際政經影響力，</w:t>
      </w:r>
      <w:r w:rsidR="00DE5B34" w:rsidRPr="00C74F59">
        <w:rPr>
          <w:rFonts w:hint="eastAsia"/>
        </w:rPr>
        <w:t>也</w:t>
      </w:r>
      <w:r w:rsidRPr="00C74F59">
        <w:rPr>
          <w:rFonts w:hint="eastAsia"/>
        </w:rPr>
        <w:t>是無法迴避的國際現實。</w:t>
      </w:r>
    </w:p>
    <w:p w:rsidR="00FC7402" w:rsidRPr="00C74F59" w:rsidRDefault="00FC7402" w:rsidP="00FC7402">
      <w:pPr>
        <w:pStyle w:val="2"/>
        <w:spacing w:beforeLines="150" w:before="540" w:after="108"/>
      </w:pPr>
      <w:bookmarkStart w:id="58" w:name="_Toc389203195"/>
      <w:bookmarkStart w:id="59" w:name="_Toc405462594"/>
      <w:r w:rsidRPr="00C74F59">
        <w:rPr>
          <w:rFonts w:hint="eastAsia"/>
        </w:rPr>
        <w:t>第三節　自貿區試驗探索對外開放</w:t>
      </w:r>
      <w:bookmarkEnd w:id="58"/>
      <w:bookmarkEnd w:id="59"/>
    </w:p>
    <w:p w:rsidR="00FC7402" w:rsidRPr="00C74F59" w:rsidRDefault="00DB0C74" w:rsidP="00FC7402">
      <w:pPr>
        <w:pStyle w:val="-"/>
        <w:spacing w:before="108" w:after="108"/>
        <w:ind w:firstLine="520"/>
      </w:pPr>
      <w:r w:rsidRPr="00C74F59">
        <w:rPr>
          <w:rFonts w:hint="eastAsia"/>
        </w:rPr>
        <w:t>近年來，全球經濟持續藉由區域經貿整合進一步加速融合，中國大陸</w:t>
      </w:r>
      <w:r w:rsidRPr="00C74F59">
        <w:rPr>
          <w:rFonts w:hint="eastAsia"/>
        </w:rPr>
        <w:lastRenderedPageBreak/>
        <w:t>為了進一步發展，必須加快對外開放的步伐，積極加速融入世界經濟，以取得更大的政治與經濟影響力。若沒有國際市場的支持，中國大陸的經濟成長便難以為繼；沒有國際資源的有效供給，中國大陸也會失去發展的動力。因此探索對外開放新路徑顯得相當重要。三中全會改革文件《決定》中將自由貿易區建設列為重要的改革項目，顯示其試圖透過自貿區的制度試驗，加快融入世界經濟體制，推進區域經濟整合進程。</w:t>
      </w:r>
    </w:p>
    <w:p w:rsidR="00FC7402" w:rsidRPr="00C74F59" w:rsidRDefault="00DB0C74" w:rsidP="00FC7402">
      <w:pPr>
        <w:pStyle w:val="3"/>
        <w:spacing w:beforeLines="100" w:before="360" w:after="72"/>
        <w:rPr>
          <w:rFonts w:ascii="Times New Roman" w:hAnsi="Times New Roman"/>
        </w:rPr>
      </w:pPr>
      <w:r w:rsidRPr="00C74F59">
        <w:rPr>
          <w:rFonts w:ascii="Times New Roman" w:hAnsi="Times New Roman" w:hint="eastAsia"/>
        </w:rPr>
        <w:t>壹、上海自貿區先行試驗</w:t>
      </w:r>
    </w:p>
    <w:p w:rsidR="00FC7402" w:rsidRDefault="00DB0C74" w:rsidP="00FC7402">
      <w:pPr>
        <w:pStyle w:val="-"/>
        <w:spacing w:before="108" w:after="108"/>
        <w:ind w:firstLine="520"/>
      </w:pPr>
      <w:r w:rsidRPr="00C74F59">
        <w:rPr>
          <w:rFonts w:hint="eastAsia"/>
        </w:rPr>
        <w:t>中國大陸</w:t>
      </w:r>
      <w:r w:rsidRPr="00C74F59">
        <w:t>30</w:t>
      </w:r>
      <w:r w:rsidRPr="00C74F59">
        <w:rPr>
          <w:rFonts w:hint="eastAsia"/>
        </w:rPr>
        <w:t>多年來的市場經濟改革最初就是以開放來帶動改革，面對新時代全球經貿整合，在對外開放方面，過去的新區或新舊特區已不足以提供新動能，進一步的改革開放必須提升至中央帶頭的層次，因此「中國（上海）自由貿易試驗區」（以下簡稱上海自貿區）應運而生。上海自貿區被視為習李上臺後探索對外開放新路徑的重大舉措，為開始啟動面向未來包括</w:t>
      </w:r>
      <w:r w:rsidR="00051CB4" w:rsidRPr="00C74F59">
        <w:rPr>
          <w:rFonts w:hint="eastAsia"/>
        </w:rPr>
        <w:t>「中美雙邊投資協定」（</w:t>
      </w:r>
      <w:r w:rsidR="00051CB4" w:rsidRPr="00C74F59">
        <w:rPr>
          <w:rFonts w:hint="eastAsia"/>
        </w:rPr>
        <w:t>B</w:t>
      </w:r>
      <w:r w:rsidR="00051CB4" w:rsidRPr="00C74F59">
        <w:t xml:space="preserve">ilateral </w:t>
      </w:r>
      <w:r w:rsidR="00051CB4" w:rsidRPr="00C74F59">
        <w:rPr>
          <w:rFonts w:hint="eastAsia"/>
        </w:rPr>
        <w:t>I</w:t>
      </w:r>
      <w:r w:rsidR="00051CB4" w:rsidRPr="00C74F59">
        <w:t xml:space="preserve">nvestment </w:t>
      </w:r>
      <w:r w:rsidR="00051CB4" w:rsidRPr="00C74F59">
        <w:rPr>
          <w:rFonts w:hint="eastAsia"/>
        </w:rPr>
        <w:t>T</w:t>
      </w:r>
      <w:r w:rsidR="00051CB4" w:rsidRPr="00C74F59">
        <w:t>treaty</w:t>
      </w:r>
      <w:r w:rsidR="00051CB4" w:rsidRPr="00C74F59">
        <w:rPr>
          <w:rFonts w:hint="eastAsia"/>
        </w:rPr>
        <w:t>,</w:t>
      </w:r>
      <w:r w:rsidR="00051CB4" w:rsidRPr="00C74F59">
        <w:t xml:space="preserve"> </w:t>
      </w:r>
      <w:r w:rsidRPr="00C74F59">
        <w:t>BIT</w:t>
      </w:r>
      <w:r w:rsidRPr="00C74F59">
        <w:rPr>
          <w:rFonts w:hint="eastAsia"/>
        </w:rPr>
        <w:t>）、</w:t>
      </w:r>
      <w:r w:rsidRPr="00C74F59">
        <w:t>TPP</w:t>
      </w:r>
      <w:r w:rsidRPr="00C74F59">
        <w:rPr>
          <w:rFonts w:hint="eastAsia"/>
        </w:rPr>
        <w:t>、</w:t>
      </w:r>
      <w:r w:rsidR="00051CB4" w:rsidRPr="00C74F59">
        <w:rPr>
          <w:rFonts w:hint="eastAsia"/>
        </w:rPr>
        <w:t>「跨大西洋貿易及投資夥伴協議」（</w:t>
      </w:r>
      <w:r w:rsidR="00051CB4" w:rsidRPr="00C74F59">
        <w:t>Transatlantic Trade and Investment Partnership, TTIP</w:t>
      </w:r>
      <w:r w:rsidRPr="00C74F59">
        <w:rPr>
          <w:rFonts w:hint="eastAsia"/>
        </w:rPr>
        <w:t>）等重大國際經貿安排之制度試驗探索，以做為進一步深層改革迎接開放的試點。加快融入世界貿易體制的積極作為。簡要來說，就是要改革試驗、開放擴大與累積國際經驗。選擇上海的原因在於其開放型經濟規模大、內外經濟聯繫面廣、國際化企業集聚度高、承受風險能力</w:t>
      </w:r>
      <w:r>
        <w:rPr>
          <w:rFonts w:hint="eastAsia"/>
        </w:rPr>
        <w:t>相對較強、有較成熟之間管制度與管理經驗、區位與基礎設施條件優勢亦佳</w:t>
      </w:r>
      <w:r w:rsidR="00196463">
        <w:rPr>
          <w:rStyle w:val="aff0"/>
        </w:rPr>
        <w:footnoteReference w:id="33"/>
      </w:r>
      <w:r>
        <w:rPr>
          <w:rFonts w:hint="eastAsia"/>
        </w:rPr>
        <w:t>。</w:t>
      </w:r>
    </w:p>
    <w:p w:rsidR="00FC7402" w:rsidRPr="00FD5F24" w:rsidRDefault="00DB0C74" w:rsidP="00FC7402">
      <w:pPr>
        <w:pStyle w:val="-"/>
        <w:spacing w:before="108" w:after="108"/>
        <w:ind w:firstLine="520"/>
      </w:pPr>
      <w:r>
        <w:rPr>
          <w:rFonts w:hint="eastAsia"/>
        </w:rPr>
        <w:t>上海自貿區正式於</w:t>
      </w:r>
      <w:r>
        <w:t>2013</w:t>
      </w:r>
      <w:r>
        <w:rPr>
          <w:rFonts w:hint="eastAsia"/>
        </w:rPr>
        <w:t>年</w:t>
      </w:r>
      <w:r>
        <w:t>9</w:t>
      </w:r>
      <w:r>
        <w:rPr>
          <w:rFonts w:hint="eastAsia"/>
        </w:rPr>
        <w:t>月</w:t>
      </w:r>
      <w:r>
        <w:t>29</w:t>
      </w:r>
      <w:r>
        <w:rPr>
          <w:rFonts w:hint="eastAsia"/>
        </w:rPr>
        <w:t>日由中國大陸國務院核准掛牌成立，該試驗區的範圍涵蓋上海市外高橋保稅區、外高橋保稅物流園區、洋山保稅港區和上海浦東機場綜合保稅區等</w:t>
      </w:r>
      <w:r>
        <w:t>4</w:t>
      </w:r>
      <w:r>
        <w:rPr>
          <w:rFonts w:hint="eastAsia"/>
        </w:rPr>
        <w:t>個海關特殊監管區域（圖</w:t>
      </w:r>
      <w:r>
        <w:t>4-7</w:t>
      </w:r>
      <w:r>
        <w:rPr>
          <w:rFonts w:hint="eastAsia"/>
        </w:rPr>
        <w:t>）。</w:t>
      </w:r>
    </w:p>
    <w:p w:rsidR="00FC7402" w:rsidRDefault="00796180" w:rsidP="00FC7402">
      <w:pPr>
        <w:pStyle w:val="af7"/>
        <w:spacing w:beforeLines="0" w:afterLines="0" w:line="240" w:lineRule="auto"/>
        <w:ind w:firstLineChars="0" w:firstLine="0"/>
        <w:jc w:val="center"/>
      </w:pPr>
      <w:r>
        <w:rPr>
          <w:noProof/>
        </w:rPr>
        <w:lastRenderedPageBreak/>
        <w:drawing>
          <wp:inline distT="0" distB="0" distL="0" distR="0">
            <wp:extent cx="4626610" cy="4912995"/>
            <wp:effectExtent l="0" t="0" r="2540" b="1905"/>
            <wp:docPr id="17" name="圖片 2" descr="上海自貿區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上海自貿區6"/>
                    <pic:cNvPicPr>
                      <a:picLocks noChangeAspect="1" noChangeArrowheads="1"/>
                    </pic:cNvPicPr>
                  </pic:nvPicPr>
                  <pic:blipFill>
                    <a:blip r:embed="rId33">
                      <a:extLst>
                        <a:ext uri="{28A0092B-C50C-407E-A947-70E740481C1C}">
                          <a14:useLocalDpi xmlns:a14="http://schemas.microsoft.com/office/drawing/2010/main" val="0"/>
                        </a:ext>
                      </a:extLst>
                    </a:blip>
                    <a:srcRect t="7532" b="9781"/>
                    <a:stretch>
                      <a:fillRect/>
                    </a:stretch>
                  </pic:blipFill>
                  <pic:spPr bwMode="auto">
                    <a:xfrm>
                      <a:off x="0" y="0"/>
                      <a:ext cx="4626610" cy="4912995"/>
                    </a:xfrm>
                    <a:prstGeom prst="rect">
                      <a:avLst/>
                    </a:prstGeom>
                    <a:noFill/>
                    <a:ln>
                      <a:noFill/>
                    </a:ln>
                  </pic:spPr>
                </pic:pic>
              </a:graphicData>
            </a:graphic>
          </wp:inline>
        </w:drawing>
      </w:r>
    </w:p>
    <w:p w:rsidR="00FC7402" w:rsidRPr="00304AAE" w:rsidRDefault="00DB0C74" w:rsidP="00FC7402">
      <w:pPr>
        <w:pStyle w:val="a9"/>
        <w:ind w:firstLineChars="283" w:firstLine="566"/>
        <w:rPr>
          <w:lang w:val="en-US" w:eastAsia="zh-TW"/>
        </w:rPr>
      </w:pPr>
      <w:r w:rsidRPr="00304AAE">
        <w:rPr>
          <w:rFonts w:hint="eastAsia"/>
          <w:lang w:val="en-US" w:eastAsia="zh-TW"/>
        </w:rPr>
        <w:t>資料來源：中國時報，</w:t>
      </w:r>
      <w:r w:rsidRPr="00304AAE">
        <w:rPr>
          <w:lang w:val="en-US" w:eastAsia="zh-TW"/>
        </w:rPr>
        <w:t>2013</w:t>
      </w:r>
      <w:r w:rsidRPr="00304AAE">
        <w:rPr>
          <w:rFonts w:hint="eastAsia"/>
          <w:lang w:val="en-US" w:eastAsia="zh-TW"/>
        </w:rPr>
        <w:t>年</w:t>
      </w:r>
      <w:r w:rsidRPr="00304AAE">
        <w:rPr>
          <w:lang w:val="en-US" w:eastAsia="zh-TW"/>
        </w:rPr>
        <w:t>9</w:t>
      </w:r>
      <w:r w:rsidRPr="00304AAE">
        <w:rPr>
          <w:rFonts w:hint="eastAsia"/>
          <w:lang w:val="en-US" w:eastAsia="zh-TW"/>
        </w:rPr>
        <w:t>月</w:t>
      </w:r>
      <w:r w:rsidRPr="00304AAE">
        <w:rPr>
          <w:lang w:val="en-US" w:eastAsia="zh-TW"/>
        </w:rPr>
        <w:t>6</w:t>
      </w:r>
      <w:r w:rsidRPr="00304AAE">
        <w:rPr>
          <w:rFonts w:hint="eastAsia"/>
          <w:lang w:val="en-US" w:eastAsia="zh-TW"/>
        </w:rPr>
        <w:t>日。</w:t>
      </w:r>
    </w:p>
    <w:p w:rsidR="00FC7402" w:rsidRPr="00FD5F24" w:rsidRDefault="00DB0C74" w:rsidP="00FC7402">
      <w:pPr>
        <w:pStyle w:val="af0"/>
      </w:pPr>
      <w:bookmarkStart w:id="60" w:name="_Toc405462637"/>
      <w:r w:rsidRPr="00FD5F24">
        <w:rPr>
          <w:rFonts w:hint="eastAsia"/>
        </w:rPr>
        <w:t>圖</w:t>
      </w:r>
      <w:r w:rsidRPr="00FD5F24">
        <w:t>4-</w:t>
      </w:r>
      <w:r>
        <w:t>7</w:t>
      </w:r>
      <w:r>
        <w:rPr>
          <w:rFonts w:hint="eastAsia"/>
        </w:rPr>
        <w:t xml:space="preserve">　</w:t>
      </w:r>
      <w:r w:rsidRPr="00FD5F24">
        <w:rPr>
          <w:rFonts w:hint="eastAsia"/>
        </w:rPr>
        <w:t>上海自貿區範圍</w:t>
      </w:r>
      <w:bookmarkEnd w:id="60"/>
    </w:p>
    <w:p w:rsidR="00FC7402" w:rsidRDefault="00DB0C74" w:rsidP="00FC7402">
      <w:pPr>
        <w:pStyle w:val="-"/>
        <w:spacing w:before="108" w:after="108"/>
        <w:ind w:firstLine="520"/>
      </w:pPr>
      <w:r w:rsidRPr="00FD5F24">
        <w:rPr>
          <w:rFonts w:hint="eastAsia"/>
        </w:rPr>
        <w:t>中國大陸將藉由上海這個發展最完整的城市中的四小區塊，來試驗未來面臨</w:t>
      </w:r>
      <w:r w:rsidRPr="00FD5F24">
        <w:t>TPP</w:t>
      </w:r>
      <w:r w:rsidRPr="00FD5F24">
        <w:rPr>
          <w:rFonts w:hint="eastAsia"/>
        </w:rPr>
        <w:t>等高層次國際自由貿易協定，應該如何進行準備因應衝擊與利用機會。所以，自貿區開放的路徑應是現在上海自貿區發展到一定程度相對成熟後，再開放其他地區進行類似的試驗，最終可能推廣到全國。</w:t>
      </w:r>
    </w:p>
    <w:p w:rsidR="00FC7402" w:rsidRDefault="00DB0C74" w:rsidP="00FC7402">
      <w:pPr>
        <w:pStyle w:val="-"/>
        <w:spacing w:before="108" w:after="108"/>
        <w:ind w:firstLine="520"/>
      </w:pPr>
      <w:r>
        <w:rPr>
          <w:rFonts w:hint="eastAsia"/>
        </w:rPr>
        <w:t>在《中國（上海）自由貿易試驗區總體方案》當中，指出上海自貿區</w:t>
      </w:r>
      <w:r w:rsidRPr="00C74F59">
        <w:rPr>
          <w:rFonts w:hint="eastAsia"/>
        </w:rPr>
        <w:t>要「圍繞面向世界、服務全國的戰略要求和上海</w:t>
      </w:r>
      <w:r w:rsidR="00E4377E" w:rsidRPr="00C74F59">
        <w:rPr>
          <w:rFonts w:hint="eastAsia"/>
        </w:rPr>
        <w:t>「</w:t>
      </w:r>
      <w:r w:rsidRPr="00C74F59">
        <w:rPr>
          <w:rFonts w:hint="eastAsia"/>
        </w:rPr>
        <w:t>四個中心</w:t>
      </w:r>
      <w:r w:rsidR="00E4377E" w:rsidRPr="00C74F59">
        <w:rPr>
          <w:rFonts w:hint="eastAsia"/>
        </w:rPr>
        <w:t>」</w:t>
      </w:r>
      <w:r w:rsidRPr="00C74F59">
        <w:rPr>
          <w:rFonts w:hint="eastAsia"/>
        </w:rPr>
        <w:t>建設的戰略任務，按照先行先試、風險可控、分步推進、逐步完善的方式，把擴大開放與體制改革相結合、把培育功能與政策創新相結合，形成與國際投資、</w:t>
      </w:r>
      <w:r w:rsidRPr="004834E7">
        <w:rPr>
          <w:rFonts w:hint="eastAsia"/>
        </w:rPr>
        <w:t>貿易通行規則相銜接的基本制度框架。</w:t>
      </w:r>
      <w:r>
        <w:rPr>
          <w:rFonts w:hint="eastAsia"/>
        </w:rPr>
        <w:t>」所謂上海的四個中心包括</w:t>
      </w:r>
      <w:r w:rsidRPr="004834E7">
        <w:rPr>
          <w:rFonts w:hint="eastAsia"/>
        </w:rPr>
        <w:t>國際經</w:t>
      </w:r>
      <w:r w:rsidRPr="004834E7">
        <w:rPr>
          <w:rFonts w:hint="eastAsia"/>
        </w:rPr>
        <w:lastRenderedPageBreak/>
        <w:t>濟、金融、貿易、航運中心</w:t>
      </w:r>
      <w:r>
        <w:rPr>
          <w:rFonts w:hint="eastAsia"/>
        </w:rPr>
        <w:t>等之定位。上海自貿區主要任務措施與簡要內容如下列：</w:t>
      </w:r>
    </w:p>
    <w:p w:rsidR="00FC7402" w:rsidRDefault="00DB0C74" w:rsidP="00FC7402">
      <w:pPr>
        <w:pStyle w:val="-"/>
        <w:numPr>
          <w:ilvl w:val="0"/>
          <w:numId w:val="14"/>
        </w:numPr>
        <w:spacing w:beforeLines="0" w:before="0" w:afterLines="0" w:after="0"/>
        <w:ind w:left="1004" w:firstLineChars="0" w:hanging="482"/>
      </w:pPr>
      <w:r>
        <w:rPr>
          <w:rFonts w:hint="eastAsia"/>
        </w:rPr>
        <w:t>加快政府職能轉變－</w:t>
      </w:r>
      <w:r w:rsidRPr="004B5F07">
        <w:rPr>
          <w:rFonts w:hint="eastAsia"/>
        </w:rPr>
        <w:t>深化行政管理體制改革</w:t>
      </w:r>
    </w:p>
    <w:p w:rsidR="00FC7402" w:rsidRDefault="00DB0C74" w:rsidP="00FC7402">
      <w:pPr>
        <w:pStyle w:val="-"/>
        <w:numPr>
          <w:ilvl w:val="0"/>
          <w:numId w:val="14"/>
        </w:numPr>
        <w:spacing w:beforeLines="0" w:before="0" w:afterLines="0" w:after="0"/>
        <w:ind w:left="1004" w:firstLineChars="0" w:hanging="482"/>
      </w:pPr>
      <w:r>
        <w:rPr>
          <w:rFonts w:hint="eastAsia"/>
        </w:rPr>
        <w:t>擴大投資領域的開放－</w:t>
      </w:r>
      <w:r w:rsidRPr="004B5F07">
        <w:rPr>
          <w:rFonts w:hint="eastAsia"/>
        </w:rPr>
        <w:t>擴大服務業開放</w:t>
      </w:r>
      <w:r w:rsidRPr="004834E7">
        <w:rPr>
          <w:rFonts w:hint="eastAsia"/>
        </w:rPr>
        <w:t>、</w:t>
      </w:r>
      <w:r w:rsidRPr="004B5F07">
        <w:rPr>
          <w:rFonts w:hint="eastAsia"/>
        </w:rPr>
        <w:t>探索建立負面清單管理模式</w:t>
      </w:r>
      <w:r w:rsidRPr="004834E7">
        <w:rPr>
          <w:rFonts w:hint="eastAsia"/>
        </w:rPr>
        <w:t>、</w:t>
      </w:r>
      <w:r w:rsidRPr="004B5F07">
        <w:rPr>
          <w:rFonts w:hint="eastAsia"/>
        </w:rPr>
        <w:t>構築對外投資服務促進體</w:t>
      </w:r>
      <w:r>
        <w:rPr>
          <w:rFonts w:hint="eastAsia"/>
        </w:rPr>
        <w:t>系</w:t>
      </w:r>
    </w:p>
    <w:p w:rsidR="00FC7402" w:rsidRDefault="00DB0C74" w:rsidP="00FC7402">
      <w:pPr>
        <w:pStyle w:val="-"/>
        <w:numPr>
          <w:ilvl w:val="0"/>
          <w:numId w:val="14"/>
        </w:numPr>
        <w:spacing w:beforeLines="0" w:before="0" w:afterLines="0" w:after="0"/>
        <w:ind w:left="1004" w:firstLineChars="0" w:hanging="482"/>
      </w:pPr>
      <w:r>
        <w:rPr>
          <w:rFonts w:hint="eastAsia"/>
        </w:rPr>
        <w:t>推進貿易發展方式的轉變－</w:t>
      </w:r>
      <w:r w:rsidRPr="004B5F07">
        <w:rPr>
          <w:rFonts w:hint="eastAsia"/>
        </w:rPr>
        <w:t>推動貿易轉型升級</w:t>
      </w:r>
      <w:r w:rsidRPr="004834E7">
        <w:rPr>
          <w:rFonts w:hint="eastAsia"/>
        </w:rPr>
        <w:t>、</w:t>
      </w:r>
      <w:r w:rsidRPr="004B5F07">
        <w:rPr>
          <w:rFonts w:hint="eastAsia"/>
        </w:rPr>
        <w:t>提升國際航運服務能級</w:t>
      </w:r>
    </w:p>
    <w:p w:rsidR="00FC7402" w:rsidRDefault="00DB0C74" w:rsidP="00FC7402">
      <w:pPr>
        <w:pStyle w:val="-"/>
        <w:numPr>
          <w:ilvl w:val="0"/>
          <w:numId w:val="14"/>
        </w:numPr>
        <w:spacing w:beforeLines="0" w:before="0" w:afterLines="0" w:after="0"/>
        <w:ind w:left="1004" w:firstLineChars="0" w:hanging="482"/>
      </w:pPr>
      <w:r>
        <w:rPr>
          <w:rFonts w:hint="eastAsia"/>
        </w:rPr>
        <w:t>深化金融領域的開放創新－</w:t>
      </w:r>
      <w:r w:rsidRPr="004B5F07">
        <w:rPr>
          <w:rFonts w:hint="eastAsia"/>
        </w:rPr>
        <w:t>加快金融制度創新</w:t>
      </w:r>
      <w:r w:rsidRPr="004834E7">
        <w:rPr>
          <w:rFonts w:hint="eastAsia"/>
        </w:rPr>
        <w:t>、</w:t>
      </w:r>
      <w:r w:rsidRPr="004B5F07">
        <w:rPr>
          <w:rFonts w:hint="eastAsia"/>
        </w:rPr>
        <w:t>增強金融服務功能</w:t>
      </w:r>
    </w:p>
    <w:p w:rsidR="00FC7402" w:rsidRDefault="00DB0C74" w:rsidP="00FC7402">
      <w:pPr>
        <w:pStyle w:val="-"/>
        <w:numPr>
          <w:ilvl w:val="0"/>
          <w:numId w:val="14"/>
        </w:numPr>
        <w:spacing w:beforeLines="0" w:before="0" w:afterLines="0" w:after="0"/>
        <w:ind w:left="1004" w:firstLineChars="0" w:hanging="482"/>
      </w:pPr>
      <w:r>
        <w:rPr>
          <w:rFonts w:hint="eastAsia"/>
        </w:rPr>
        <w:t>完善法制領域的制度保障－</w:t>
      </w:r>
      <w:r w:rsidRPr="004B5F07">
        <w:rPr>
          <w:rFonts w:hint="eastAsia"/>
        </w:rPr>
        <w:t>加快形成符合試驗區發展需要的高標準投資和貿易規則體</w:t>
      </w:r>
      <w:r>
        <w:rPr>
          <w:rFonts w:hint="eastAsia"/>
        </w:rPr>
        <w:t>系</w:t>
      </w:r>
    </w:p>
    <w:p w:rsidR="00FC7402" w:rsidRDefault="00DB0C74" w:rsidP="00FC7402">
      <w:pPr>
        <w:pStyle w:val="-"/>
        <w:spacing w:before="108" w:after="108"/>
        <w:ind w:firstLine="520"/>
      </w:pPr>
      <w:r>
        <w:rPr>
          <w:rFonts w:hint="eastAsia"/>
        </w:rPr>
        <w:t>在</w:t>
      </w:r>
      <w:r w:rsidRPr="004B5F07">
        <w:rPr>
          <w:rFonts w:hint="eastAsia"/>
        </w:rPr>
        <w:t>擴大服務業開放</w:t>
      </w:r>
      <w:r>
        <w:rPr>
          <w:rFonts w:hint="eastAsia"/>
        </w:rPr>
        <w:t>方面，</w:t>
      </w:r>
      <w:r w:rsidRPr="004B5F07">
        <w:rPr>
          <w:rFonts w:hint="eastAsia"/>
        </w:rPr>
        <w:t>選擇</w:t>
      </w:r>
      <w:r>
        <w:rPr>
          <w:rFonts w:hint="eastAsia"/>
        </w:rPr>
        <w:t>了</w:t>
      </w:r>
      <w:r w:rsidRPr="004B5F07">
        <w:rPr>
          <w:rFonts w:hint="eastAsia"/>
        </w:rPr>
        <w:t>金融服務、航運服務、商貿服務、專業服務、文化服務以及社會服務</w:t>
      </w:r>
      <w:r>
        <w:rPr>
          <w:rFonts w:hint="eastAsia"/>
        </w:rPr>
        <w:t>等</w:t>
      </w:r>
      <w:r w:rsidRPr="004B5F07">
        <w:rPr>
          <w:rFonts w:hint="eastAsia"/>
        </w:rPr>
        <w:t>領域擴大開放</w:t>
      </w:r>
      <w:r>
        <w:rPr>
          <w:rFonts w:hint="eastAsia"/>
        </w:rPr>
        <w:t>覆蓋了銀行業務、融資租賃、</w:t>
      </w:r>
      <w:r w:rsidRPr="00D43009">
        <w:rPr>
          <w:rFonts w:hint="eastAsia"/>
        </w:rPr>
        <w:t>遠洋貨物運輸</w:t>
      </w:r>
      <w:r>
        <w:rPr>
          <w:rFonts w:hint="eastAsia"/>
        </w:rPr>
        <w:t>、</w:t>
      </w:r>
      <w:r w:rsidRPr="00D43009">
        <w:rPr>
          <w:rFonts w:hint="eastAsia"/>
        </w:rPr>
        <w:t>增值電信</w:t>
      </w:r>
      <w:r>
        <w:rPr>
          <w:rFonts w:hint="eastAsia"/>
        </w:rPr>
        <w:t>、</w:t>
      </w:r>
      <w:r w:rsidRPr="00D43009">
        <w:rPr>
          <w:rFonts w:hint="eastAsia"/>
        </w:rPr>
        <w:t>旅行社</w:t>
      </w:r>
      <w:r>
        <w:rPr>
          <w:rFonts w:hint="eastAsia"/>
        </w:rPr>
        <w:t>、</w:t>
      </w:r>
      <w:r w:rsidRPr="00D43009">
        <w:rPr>
          <w:rFonts w:hint="eastAsia"/>
        </w:rPr>
        <w:t>人才中介服務</w:t>
      </w:r>
      <w:r>
        <w:rPr>
          <w:rFonts w:hint="eastAsia"/>
        </w:rPr>
        <w:t>、</w:t>
      </w:r>
      <w:r w:rsidRPr="00D43009">
        <w:rPr>
          <w:rFonts w:hint="eastAsia"/>
        </w:rPr>
        <w:t>工程設計</w:t>
      </w:r>
      <w:r>
        <w:rPr>
          <w:rFonts w:hint="eastAsia"/>
        </w:rPr>
        <w:t>、</w:t>
      </w:r>
      <w:r w:rsidRPr="00D43009">
        <w:rPr>
          <w:rFonts w:hint="eastAsia"/>
        </w:rPr>
        <w:t>演出經紀</w:t>
      </w:r>
      <w:r>
        <w:rPr>
          <w:rFonts w:hint="eastAsia"/>
        </w:rPr>
        <w:t>、</w:t>
      </w:r>
      <w:r w:rsidRPr="00D43009">
        <w:rPr>
          <w:rFonts w:hint="eastAsia"/>
        </w:rPr>
        <w:t>教育</w:t>
      </w:r>
      <w:r>
        <w:rPr>
          <w:rFonts w:hint="eastAsia"/>
        </w:rPr>
        <w:t>與</w:t>
      </w:r>
      <w:r w:rsidRPr="00D43009">
        <w:rPr>
          <w:rFonts w:hint="eastAsia"/>
        </w:rPr>
        <w:t>職業技能培訓</w:t>
      </w:r>
      <w:r>
        <w:rPr>
          <w:rFonts w:hint="eastAsia"/>
        </w:rPr>
        <w:t>、</w:t>
      </w:r>
      <w:r w:rsidRPr="00D43009">
        <w:rPr>
          <w:rFonts w:hint="eastAsia"/>
        </w:rPr>
        <w:t>醫療服務</w:t>
      </w:r>
      <w:r>
        <w:rPr>
          <w:rFonts w:hint="eastAsia"/>
        </w:rPr>
        <w:t>等等共</w:t>
      </w:r>
      <w:r>
        <w:t>18</w:t>
      </w:r>
      <w:r>
        <w:rPr>
          <w:rFonts w:hint="eastAsia"/>
        </w:rPr>
        <w:t>個領域的服務業。此外，試驗以負面表列進行外商投資管理為一項重大的制度突破，但至負面清單首次推出後（針對對</w:t>
      </w:r>
      <w:r>
        <w:t xml:space="preserve">18 </w:t>
      </w:r>
      <w:r>
        <w:rPr>
          <w:rFonts w:hint="eastAsia"/>
        </w:rPr>
        <w:t>個門類、</w:t>
      </w:r>
      <w:r>
        <w:t xml:space="preserve">89 </w:t>
      </w:r>
      <w:r>
        <w:rPr>
          <w:rFonts w:hint="eastAsia"/>
        </w:rPr>
        <w:t>個大類、</w:t>
      </w:r>
      <w:r>
        <w:t xml:space="preserve">419 </w:t>
      </w:r>
      <w:r>
        <w:rPr>
          <w:rFonts w:hint="eastAsia"/>
        </w:rPr>
        <w:t>個中類、</w:t>
      </w:r>
      <w:r>
        <w:t xml:space="preserve">1069 </w:t>
      </w:r>
      <w:r>
        <w:rPr>
          <w:rFonts w:hint="eastAsia"/>
        </w:rPr>
        <w:t>個小類等，共列出了</w:t>
      </w:r>
      <w:r>
        <w:t xml:space="preserve">190 </w:t>
      </w:r>
      <w:r>
        <w:rPr>
          <w:rFonts w:hint="eastAsia"/>
        </w:rPr>
        <w:t>條），</w:t>
      </w:r>
      <w:r w:rsidRPr="00FD5F24">
        <w:rPr>
          <w:rFonts w:hint="eastAsia"/>
        </w:rPr>
        <w:t>為</w:t>
      </w:r>
      <w:r>
        <w:rPr>
          <w:rFonts w:hint="eastAsia"/>
        </w:rPr>
        <w:t>外界所</w:t>
      </w:r>
      <w:r w:rsidRPr="00FD5F24">
        <w:rPr>
          <w:rFonts w:hint="eastAsia"/>
        </w:rPr>
        <w:t>詬病</w:t>
      </w:r>
      <w:r>
        <w:rPr>
          <w:rFonts w:hint="eastAsia"/>
        </w:rPr>
        <w:t>在於</w:t>
      </w:r>
      <w:r w:rsidRPr="00FD5F24">
        <w:rPr>
          <w:rFonts w:hint="eastAsia"/>
        </w:rPr>
        <w:t>負面表列項目相當多，比正面表列還多。從此處可</w:t>
      </w:r>
      <w:r>
        <w:rPr>
          <w:rFonts w:hint="eastAsia"/>
        </w:rPr>
        <w:t>印證</w:t>
      </w:r>
      <w:r w:rsidRPr="00FD5F24">
        <w:rPr>
          <w:rFonts w:hint="eastAsia"/>
        </w:rPr>
        <w:t>中國大陸對於</w:t>
      </w:r>
      <w:r>
        <w:rPr>
          <w:rFonts w:hint="eastAsia"/>
        </w:rPr>
        <w:t>進一步深化</w:t>
      </w:r>
      <w:r w:rsidRPr="00FD5F24">
        <w:rPr>
          <w:rFonts w:hint="eastAsia"/>
        </w:rPr>
        <w:t>改革</w:t>
      </w:r>
      <w:r>
        <w:rPr>
          <w:rFonts w:hint="eastAsia"/>
        </w:rPr>
        <w:t>與擴大</w:t>
      </w:r>
      <w:r w:rsidRPr="00FD5F24">
        <w:rPr>
          <w:rFonts w:hint="eastAsia"/>
        </w:rPr>
        <w:t>開放</w:t>
      </w:r>
      <w:r>
        <w:rPr>
          <w:rFonts w:hint="eastAsia"/>
        </w:rPr>
        <w:t>要能進一步推進，向國際上的常規來轉變並不容易</w:t>
      </w:r>
      <w:r w:rsidRPr="00FD5F24">
        <w:rPr>
          <w:rFonts w:hint="eastAsia"/>
        </w:rPr>
        <w:t>。</w:t>
      </w:r>
    </w:p>
    <w:p w:rsidR="00FC7402" w:rsidRPr="00FD5F24" w:rsidRDefault="00DB0C74" w:rsidP="00FC7402">
      <w:pPr>
        <w:pStyle w:val="-"/>
        <w:spacing w:before="108" w:after="108"/>
        <w:ind w:firstLine="520"/>
      </w:pPr>
      <w:r w:rsidRPr="0094505F">
        <w:t>2014</w:t>
      </w:r>
      <w:r w:rsidRPr="0094505F">
        <w:rPr>
          <w:rFonts w:hint="eastAsia"/>
        </w:rPr>
        <w:t>年</w:t>
      </w:r>
      <w:r w:rsidRPr="0094505F">
        <w:t>6</w:t>
      </w:r>
      <w:r w:rsidRPr="0094505F">
        <w:rPr>
          <w:rFonts w:hint="eastAsia"/>
        </w:rPr>
        <w:t>月</w:t>
      </w:r>
      <w:r w:rsidRPr="0094505F">
        <w:t>28</w:t>
      </w:r>
      <w:r w:rsidRPr="0094505F">
        <w:rPr>
          <w:rFonts w:hint="eastAsia"/>
        </w:rPr>
        <w:t>日，</w:t>
      </w:r>
      <w:r w:rsidR="00F468EE">
        <w:rPr>
          <w:rFonts w:hint="eastAsia"/>
        </w:rPr>
        <w:t>中國大陸國務院</w:t>
      </w:r>
      <w:r>
        <w:rPr>
          <w:rFonts w:hint="eastAsia"/>
        </w:rPr>
        <w:t>批准商務部與</w:t>
      </w:r>
      <w:r w:rsidRPr="0094505F">
        <w:rPr>
          <w:rFonts w:hint="eastAsia"/>
        </w:rPr>
        <w:t>上海市人民政府</w:t>
      </w:r>
      <w:r>
        <w:rPr>
          <w:rFonts w:hint="eastAsia"/>
        </w:rPr>
        <w:t>所</w:t>
      </w:r>
      <w:r w:rsidRPr="0094505F">
        <w:rPr>
          <w:rFonts w:hint="eastAsia"/>
        </w:rPr>
        <w:t>提出在中國</w:t>
      </w:r>
      <w:r>
        <w:rPr>
          <w:rFonts w:hint="eastAsia"/>
        </w:rPr>
        <w:t>（</w:t>
      </w:r>
      <w:r w:rsidRPr="0094505F">
        <w:rPr>
          <w:rFonts w:hint="eastAsia"/>
        </w:rPr>
        <w:t>上海</w:t>
      </w:r>
      <w:r>
        <w:rPr>
          <w:rFonts w:hint="eastAsia"/>
        </w:rPr>
        <w:t>）</w:t>
      </w:r>
      <w:r w:rsidRPr="0094505F">
        <w:rPr>
          <w:rFonts w:hint="eastAsia"/>
        </w:rPr>
        <w:t>自由貿易試驗區內進一步擴大開放的</w:t>
      </w:r>
      <w:r w:rsidRPr="0094505F">
        <w:t>31</w:t>
      </w:r>
      <w:r w:rsidRPr="0094505F">
        <w:rPr>
          <w:rFonts w:hint="eastAsia"/>
        </w:rPr>
        <w:t>條措施</w:t>
      </w:r>
      <w:r>
        <w:rPr>
          <w:rFonts w:hint="eastAsia"/>
        </w:rPr>
        <w:t>（一般稱簡稱為「新</w:t>
      </w:r>
      <w:r>
        <w:t>31</w:t>
      </w:r>
      <w:r>
        <w:rPr>
          <w:rFonts w:hint="eastAsia"/>
        </w:rPr>
        <w:t>條」），涉及服務、製造、採礦、建築等領域</w:t>
      </w:r>
      <w:r w:rsidRPr="00276DC2">
        <w:rPr>
          <w:rFonts w:hint="eastAsia"/>
        </w:rPr>
        <w:t>。</w:t>
      </w:r>
      <w:r>
        <w:t>9</w:t>
      </w:r>
      <w:r>
        <w:rPr>
          <w:rFonts w:hint="eastAsia"/>
        </w:rPr>
        <w:t>月</w:t>
      </w:r>
      <w:r w:rsidRPr="00FD377E">
        <w:t>28</w:t>
      </w:r>
      <w:r w:rsidRPr="00FD377E">
        <w:rPr>
          <w:rFonts w:hint="eastAsia"/>
        </w:rPr>
        <w:t>日，</w:t>
      </w:r>
      <w:r>
        <w:rPr>
          <w:rFonts w:hint="eastAsia"/>
        </w:rPr>
        <w:t>更由</w:t>
      </w:r>
      <w:r w:rsidR="00F468EE">
        <w:rPr>
          <w:rFonts w:hint="eastAsia"/>
        </w:rPr>
        <w:t>中國大陸國務院</w:t>
      </w:r>
      <w:r>
        <w:rPr>
          <w:rFonts w:hint="eastAsia"/>
        </w:rPr>
        <w:t>核准實施</w:t>
      </w:r>
      <w:r w:rsidRPr="00FD377E">
        <w:rPr>
          <w:rFonts w:hint="eastAsia"/>
        </w:rPr>
        <w:t>《關於在中國</w:t>
      </w:r>
      <w:r w:rsidRPr="00FD377E">
        <w:t>(</w:t>
      </w:r>
      <w:r w:rsidRPr="00FD377E">
        <w:rPr>
          <w:rFonts w:hint="eastAsia"/>
        </w:rPr>
        <w:t>上海</w:t>
      </w:r>
      <w:r w:rsidRPr="00FD377E">
        <w:t>)</w:t>
      </w:r>
      <w:r w:rsidRPr="00FD377E">
        <w:rPr>
          <w:rFonts w:hint="eastAsia"/>
        </w:rPr>
        <w:t>自由貿易試驗區內暫時調整實施有關行政法規和經國務院批准的部門規章規定的准入特別管理措施的決定》，為涉及鹽業、高鐵、石油等領域的</w:t>
      </w:r>
      <w:r>
        <w:rPr>
          <w:rFonts w:hint="eastAsia"/>
        </w:rPr>
        <w:t>「新</w:t>
      </w:r>
      <w:r>
        <w:t>31</w:t>
      </w:r>
      <w:r>
        <w:rPr>
          <w:rFonts w:hint="eastAsia"/>
        </w:rPr>
        <w:t>條」</w:t>
      </w:r>
      <w:r w:rsidRPr="00FD377E">
        <w:rPr>
          <w:rFonts w:hint="eastAsia"/>
        </w:rPr>
        <w:t>擴大開</w:t>
      </w:r>
      <w:r w:rsidRPr="00FD377E">
        <w:rPr>
          <w:rFonts w:hint="eastAsia"/>
        </w:rPr>
        <w:lastRenderedPageBreak/>
        <w:t>放措施提供</w:t>
      </w:r>
      <w:r>
        <w:rPr>
          <w:rFonts w:hint="eastAsia"/>
        </w:rPr>
        <w:t>更好的</w:t>
      </w:r>
      <w:r w:rsidRPr="00FD377E">
        <w:rPr>
          <w:rFonts w:hint="eastAsia"/>
        </w:rPr>
        <w:t>法制保障。</w:t>
      </w:r>
    </w:p>
    <w:p w:rsidR="00FC7402" w:rsidRPr="004A32FF" w:rsidRDefault="00DB0C74" w:rsidP="00FC7402">
      <w:pPr>
        <w:pStyle w:val="-"/>
        <w:spacing w:before="108" w:after="108"/>
        <w:ind w:firstLine="520"/>
      </w:pPr>
      <w:r>
        <w:t>2014</w:t>
      </w:r>
      <w:r>
        <w:rPr>
          <w:rFonts w:hint="eastAsia"/>
        </w:rPr>
        <w:t>年</w:t>
      </w:r>
      <w:r>
        <w:t>9</w:t>
      </w:r>
      <w:r>
        <w:rPr>
          <w:rFonts w:hint="eastAsia"/>
        </w:rPr>
        <w:t>月</w:t>
      </w:r>
      <w:r>
        <w:t>20</w:t>
      </w:r>
      <w:r>
        <w:rPr>
          <w:rFonts w:hint="eastAsia"/>
        </w:rPr>
        <w:t>日，李克強視察上海自貿試驗區時，表示「建上海自貿區是政府自身革命。推進簡政放權、放管結合，一要處理好政府與市場的關係，探索負面清單管理模式，完善事中事後監管。二要處理好發展與開放的關係，以改革開放促發展。中國</w:t>
      </w:r>
      <w:r w:rsidR="00271D5D">
        <w:rPr>
          <w:rFonts w:hint="eastAsia"/>
        </w:rPr>
        <w:t>大陸</w:t>
      </w:r>
      <w:r>
        <w:rPr>
          <w:rFonts w:hint="eastAsia"/>
        </w:rPr>
        <w:t>開放的大門會越開越大。三要深化金融改革加快創新。」</w:t>
      </w:r>
      <w:r>
        <w:t>9</w:t>
      </w:r>
      <w:r>
        <w:rPr>
          <w:rFonts w:hint="eastAsia"/>
        </w:rPr>
        <w:t>月</w:t>
      </w:r>
      <w:r>
        <w:t>29</w:t>
      </w:r>
      <w:r>
        <w:rPr>
          <w:rFonts w:hint="eastAsia"/>
        </w:rPr>
        <w:t>日，上海自貿區掛牌營運滿一週年，各方紛紛對於其週年成績進行檢討。《京華時報》報導，區內企業已由設區前的</w:t>
      </w:r>
      <w:r w:rsidR="00E4377E" w:rsidRPr="00E4377E">
        <w:rPr>
          <w:rFonts w:hint="eastAsia"/>
          <w:color w:val="FF0000"/>
        </w:rPr>
        <w:t>8</w:t>
      </w:r>
      <w:r w:rsidR="00196463" w:rsidRPr="00196463">
        <w:rPr>
          <w:rFonts w:hint="eastAsia"/>
        </w:rPr>
        <w:t>千</w:t>
      </w:r>
      <w:r>
        <w:rPr>
          <w:rFonts w:hint="eastAsia"/>
        </w:rPr>
        <w:t>多家暴增到</w:t>
      </w:r>
      <w:r>
        <w:t>2</w:t>
      </w:r>
      <w:r>
        <w:rPr>
          <w:rFonts w:hint="eastAsia"/>
        </w:rPr>
        <w:t>萬多家。外資准入管理原有</w:t>
      </w:r>
      <w:r w:rsidR="00E4377E" w:rsidRPr="00E4377E">
        <w:rPr>
          <w:rFonts w:hint="eastAsia"/>
          <w:color w:val="FF0000"/>
        </w:rPr>
        <w:t>1</w:t>
      </w:r>
      <w:r w:rsidR="00196463" w:rsidRPr="00196463">
        <w:rPr>
          <w:rFonts w:hint="eastAsia"/>
        </w:rPr>
        <w:t>千</w:t>
      </w:r>
      <w:r>
        <w:rPr>
          <w:rFonts w:hint="eastAsia"/>
        </w:rPr>
        <w:t>多項審批，實行負面清單管理後減少到</w:t>
      </w:r>
      <w:r>
        <w:t>190</w:t>
      </w:r>
      <w:r>
        <w:rPr>
          <w:rFonts w:hint="eastAsia"/>
        </w:rPr>
        <w:t>項，</w:t>
      </w:r>
      <w:r>
        <w:t>2014</w:t>
      </w:r>
      <w:r>
        <w:rPr>
          <w:rFonts w:hint="eastAsia"/>
        </w:rPr>
        <w:t>年</w:t>
      </w:r>
      <w:r>
        <w:t>6</w:t>
      </w:r>
      <w:r>
        <w:rPr>
          <w:rFonts w:hint="eastAsia"/>
        </w:rPr>
        <w:t>月又減少到</w:t>
      </w:r>
      <w:r>
        <w:t>139</w:t>
      </w:r>
      <w:r>
        <w:rPr>
          <w:rFonts w:hint="eastAsia"/>
        </w:rPr>
        <w:t>項。但根據《華爾街日報》觀察，上海自貿區並未取得重大改革成果，其引述學術界和企業界管理人士表示，「除了一些行政手續簡化，部分行業的投資有所開放，整體進展步伐即使以中國</w:t>
      </w:r>
      <w:r w:rsidR="00271D5D">
        <w:rPr>
          <w:rFonts w:hint="eastAsia"/>
        </w:rPr>
        <w:t>大陸</w:t>
      </w:r>
      <w:r>
        <w:rPr>
          <w:rFonts w:hint="eastAsia"/>
        </w:rPr>
        <w:t>推進市場化和金融改革的漸進模式來衡量，也應該說比較慢，改革力度不大。」此外，其亦認為上海自貿區副主任戴海波</w:t>
      </w:r>
      <w:r>
        <w:t>2014</w:t>
      </w:r>
      <w:r>
        <w:rPr>
          <w:rFonts w:hint="eastAsia"/>
        </w:rPr>
        <w:t>年</w:t>
      </w:r>
      <w:r>
        <w:t>9</w:t>
      </w:r>
      <w:r>
        <w:rPr>
          <w:rFonts w:hint="eastAsia"/>
        </w:rPr>
        <w:t>月</w:t>
      </w:r>
      <w:r>
        <w:t>15</w:t>
      </w:r>
      <w:r>
        <w:rPr>
          <w:rFonts w:hint="eastAsia"/>
        </w:rPr>
        <w:t>日被免職，亦是自貿區的「最新挫折」</w:t>
      </w:r>
      <w:r w:rsidR="00196463">
        <w:rPr>
          <w:rStyle w:val="aff0"/>
        </w:rPr>
        <w:footnoteReference w:id="34"/>
      </w:r>
      <w:r>
        <w:rPr>
          <w:rFonts w:hint="eastAsia"/>
        </w:rPr>
        <w:t>。</w:t>
      </w:r>
    </w:p>
    <w:p w:rsidR="00FC7402" w:rsidRDefault="00DB0C74" w:rsidP="00FC7402">
      <w:pPr>
        <w:pStyle w:val="-"/>
        <w:spacing w:before="108" w:after="108"/>
        <w:ind w:firstLine="520"/>
      </w:pPr>
      <w:r>
        <w:rPr>
          <w:rFonts w:hint="eastAsia"/>
        </w:rPr>
        <w:t>根據本研究訪談上海相關專家，其亦認為</w:t>
      </w:r>
      <w:r w:rsidRPr="001861E3">
        <w:rPr>
          <w:rFonts w:hint="eastAsia"/>
        </w:rPr>
        <w:t>外資的負面表列清單管理，雖然已經縮減了</w:t>
      </w:r>
      <w:r w:rsidRPr="001861E3">
        <w:t>30%</w:t>
      </w:r>
      <w:r w:rsidRPr="001861E3">
        <w:rPr>
          <w:rFonts w:hint="eastAsia"/>
        </w:rPr>
        <w:t>，但其實外界還是很不滿意，且這</w:t>
      </w:r>
      <w:r w:rsidRPr="001861E3">
        <w:t>30%</w:t>
      </w:r>
      <w:r w:rsidRPr="001861E3">
        <w:rPr>
          <w:rFonts w:hint="eastAsia"/>
        </w:rPr>
        <w:t>多半是技術性的而非實質性的，尤其是</w:t>
      </w:r>
      <w:r>
        <w:rPr>
          <w:rFonts w:hint="eastAsia"/>
        </w:rPr>
        <w:t>在</w:t>
      </w:r>
      <w:r w:rsidRPr="001861E3">
        <w:rPr>
          <w:rFonts w:hint="eastAsia"/>
        </w:rPr>
        <w:t>金融</w:t>
      </w:r>
      <w:r>
        <w:rPr>
          <w:rFonts w:hint="eastAsia"/>
        </w:rPr>
        <w:t>的</w:t>
      </w:r>
      <w:r w:rsidRPr="001861E3">
        <w:rPr>
          <w:rFonts w:hint="eastAsia"/>
        </w:rPr>
        <w:t>部分。</w:t>
      </w:r>
      <w:r w:rsidRPr="009E385F">
        <w:rPr>
          <w:rFonts w:hint="eastAsia"/>
        </w:rPr>
        <w:t>貿易方面，多半是在海關通關、檢驗檢疫等方面有進展，這對於上海航運中心是有幫助，但主要仍在通關效率提升方面。關於政府監管轉型方面其實做得還不多，主要進度在於建立了政府部門</w:t>
      </w:r>
      <w:r>
        <w:rPr>
          <w:rFonts w:hint="eastAsia"/>
        </w:rPr>
        <w:t>之</w:t>
      </w:r>
      <w:r w:rsidRPr="009E385F">
        <w:rPr>
          <w:rFonts w:hint="eastAsia"/>
        </w:rPr>
        <w:t>間的信息共享平臺方面，在第三方監管以及深化市場作用上還有待努力。</w:t>
      </w:r>
      <w:r>
        <w:rPr>
          <w:rFonts w:hint="eastAsia"/>
        </w:rPr>
        <w:t>此外，</w:t>
      </w:r>
      <w:r w:rsidRPr="009E385F">
        <w:rPr>
          <w:rFonts w:hint="eastAsia"/>
        </w:rPr>
        <w:t>目前上海自貿區一個很大的問題在於其地理區域並未對應到既有之政府層級，例如浦東新區，導致管理上或是試驗上很多困難不易解決。</w:t>
      </w:r>
    </w:p>
    <w:p w:rsidR="00A01811" w:rsidRPr="00A01811" w:rsidRDefault="00A01811" w:rsidP="00FC7402">
      <w:pPr>
        <w:pStyle w:val="-"/>
        <w:spacing w:before="108" w:after="108"/>
        <w:ind w:firstLine="520"/>
      </w:pPr>
      <w:r w:rsidRPr="00A01811">
        <w:rPr>
          <w:rFonts w:ascii="標楷體" w:hAnsi="標楷體" w:hint="eastAsia"/>
          <w:szCs w:val="26"/>
          <w:lang w:val="x-none"/>
        </w:rPr>
        <w:t>最後，</w:t>
      </w:r>
      <w:r>
        <w:rPr>
          <w:rFonts w:ascii="標楷體" w:hAnsi="標楷體" w:hint="eastAsia"/>
          <w:szCs w:val="26"/>
          <w:lang w:val="x-none"/>
        </w:rPr>
        <w:t>簡略討論臺商赴</w:t>
      </w:r>
      <w:r w:rsidRPr="00A01811">
        <w:rPr>
          <w:rFonts w:ascii="標楷體" w:hAnsi="標楷體" w:hint="eastAsia"/>
          <w:szCs w:val="26"/>
          <w:lang w:val="x-none"/>
        </w:rPr>
        <w:t>上海自貿區</w:t>
      </w:r>
      <w:r>
        <w:rPr>
          <w:rFonts w:ascii="標楷體" w:hAnsi="標楷體" w:hint="eastAsia"/>
          <w:szCs w:val="26"/>
          <w:lang w:val="x-none"/>
        </w:rPr>
        <w:t>投資之情況。由於缺乏官方正式統計數據之公布，僅能從媒體報導中整理不同時點之訊息。2014</w:t>
      </w:r>
      <w:r w:rsidRPr="00A01811">
        <w:rPr>
          <w:rFonts w:ascii="標楷體" w:hAnsi="標楷體" w:hint="eastAsia"/>
          <w:szCs w:val="26"/>
          <w:lang w:val="x-none"/>
        </w:rPr>
        <w:t>年</w:t>
      </w:r>
      <w:r>
        <w:rPr>
          <w:rFonts w:ascii="標楷體" w:hAnsi="標楷體" w:hint="eastAsia"/>
          <w:szCs w:val="26"/>
          <w:lang w:val="x-none"/>
        </w:rPr>
        <w:t>1月已累</w:t>
      </w:r>
      <w:r>
        <w:rPr>
          <w:rFonts w:ascii="標楷體" w:hAnsi="標楷體" w:hint="eastAsia"/>
          <w:szCs w:val="26"/>
          <w:lang w:val="x-none"/>
        </w:rPr>
        <w:lastRenderedPageBreak/>
        <w:t>計</w:t>
      </w:r>
      <w:r w:rsidRPr="00A01811">
        <w:rPr>
          <w:rFonts w:ascii="標楷體" w:hAnsi="標楷體" w:hint="eastAsia"/>
          <w:szCs w:val="26"/>
          <w:lang w:val="x-none"/>
        </w:rPr>
        <w:t>有18家</w:t>
      </w:r>
      <w:r w:rsidR="008B0303">
        <w:rPr>
          <w:rFonts w:ascii="標楷體" w:hAnsi="標楷體" w:hint="eastAsia"/>
          <w:szCs w:val="26"/>
          <w:lang w:val="x-none"/>
        </w:rPr>
        <w:t>臺</w:t>
      </w:r>
      <w:r w:rsidRPr="00A01811">
        <w:rPr>
          <w:rFonts w:ascii="標楷體" w:hAnsi="標楷體" w:hint="eastAsia"/>
          <w:szCs w:val="26"/>
          <w:lang w:val="x-none"/>
        </w:rPr>
        <w:t>資企業</w:t>
      </w:r>
      <w:r>
        <w:rPr>
          <w:rFonts w:ascii="標楷體" w:hAnsi="標楷體" w:hint="eastAsia"/>
          <w:szCs w:val="26"/>
          <w:lang w:val="x-none"/>
        </w:rPr>
        <w:t>（</w:t>
      </w:r>
      <w:r w:rsidRPr="00A01811">
        <w:rPr>
          <w:rFonts w:ascii="標楷體" w:hAnsi="標楷體" w:hint="eastAsia"/>
          <w:szCs w:val="26"/>
          <w:lang w:val="x-none"/>
        </w:rPr>
        <w:t>13家貿易公司、3家諮詢公司、2家電子製造材料商</w:t>
      </w:r>
      <w:r>
        <w:rPr>
          <w:rFonts w:ascii="標楷體" w:hAnsi="標楷體" w:hint="eastAsia"/>
          <w:szCs w:val="26"/>
          <w:lang w:val="x-none"/>
        </w:rPr>
        <w:t>）</w:t>
      </w:r>
      <w:r w:rsidRPr="00A01811">
        <w:rPr>
          <w:rFonts w:ascii="標楷體" w:hAnsi="標楷體" w:hint="eastAsia"/>
          <w:szCs w:val="26"/>
          <w:lang w:val="x-none"/>
        </w:rPr>
        <w:t>入駐</w:t>
      </w:r>
      <w:r>
        <w:rPr>
          <w:rFonts w:ascii="標楷體" w:hAnsi="標楷體" w:hint="eastAsia"/>
          <w:szCs w:val="26"/>
          <w:lang w:val="x-none"/>
        </w:rPr>
        <w:t>上海</w:t>
      </w:r>
      <w:r w:rsidRPr="00A01811">
        <w:rPr>
          <w:rFonts w:ascii="標楷體" w:hAnsi="標楷體" w:hint="eastAsia"/>
          <w:szCs w:val="26"/>
          <w:lang w:val="x-none"/>
        </w:rPr>
        <w:t>自貿區，並</w:t>
      </w:r>
      <w:r>
        <w:rPr>
          <w:rFonts w:ascii="標楷體" w:hAnsi="標楷體" w:hint="eastAsia"/>
          <w:szCs w:val="26"/>
          <w:lang w:val="x-none"/>
        </w:rPr>
        <w:t>投資</w:t>
      </w:r>
      <w:r w:rsidRPr="00A01811">
        <w:rPr>
          <w:rFonts w:ascii="標楷體" w:hAnsi="標楷體" w:hint="eastAsia"/>
          <w:szCs w:val="26"/>
          <w:lang w:val="x-none"/>
        </w:rPr>
        <w:t>約450萬美元之資本</w:t>
      </w:r>
      <w:r w:rsidR="00196463" w:rsidRPr="00A01811">
        <w:rPr>
          <w:rStyle w:val="aff0"/>
          <w:rFonts w:ascii="標楷體" w:hAnsi="標楷體"/>
          <w:szCs w:val="26"/>
          <w:lang w:val="x-none"/>
        </w:rPr>
        <w:footnoteReference w:id="35"/>
      </w:r>
      <w:r w:rsidRPr="00A01811">
        <w:rPr>
          <w:rFonts w:ascii="標楷體" w:hAnsi="標楷體" w:hint="eastAsia"/>
          <w:szCs w:val="26"/>
          <w:lang w:val="x-none"/>
        </w:rPr>
        <w:t>。</w:t>
      </w:r>
      <w:r w:rsidR="009C23C7">
        <w:rPr>
          <w:rFonts w:ascii="標楷體" w:hAnsi="標楷體" w:hint="eastAsia"/>
          <w:szCs w:val="26"/>
          <w:lang w:val="x-none"/>
        </w:rPr>
        <w:t>但到了2014年10月，</w:t>
      </w:r>
      <w:r w:rsidRPr="00A01811">
        <w:rPr>
          <w:rFonts w:ascii="標楷體" w:hAnsi="標楷體" w:hint="eastAsia"/>
          <w:szCs w:val="26"/>
          <w:lang w:val="x-none"/>
        </w:rPr>
        <w:t>根據</w:t>
      </w:r>
      <w:r w:rsidR="009C23C7">
        <w:rPr>
          <w:rFonts w:ascii="標楷體" w:hAnsi="標楷體" w:hint="eastAsia"/>
          <w:szCs w:val="26"/>
          <w:lang w:val="x-none"/>
        </w:rPr>
        <w:t>中國大陸</w:t>
      </w:r>
      <w:r w:rsidRPr="00A01811">
        <w:rPr>
          <w:rFonts w:ascii="標楷體" w:hAnsi="標楷體" w:hint="eastAsia"/>
          <w:szCs w:val="26"/>
          <w:lang w:val="x-none"/>
        </w:rPr>
        <w:t>國</w:t>
      </w:r>
      <w:r w:rsidR="009C23C7">
        <w:rPr>
          <w:rFonts w:ascii="標楷體" w:hAnsi="標楷體" w:hint="eastAsia"/>
          <w:szCs w:val="26"/>
          <w:lang w:val="x-none"/>
        </w:rPr>
        <w:t>臺</w:t>
      </w:r>
      <w:r w:rsidRPr="00A01811">
        <w:rPr>
          <w:rFonts w:ascii="標楷體" w:hAnsi="標楷體" w:hint="eastAsia"/>
          <w:szCs w:val="26"/>
          <w:lang w:val="x-none"/>
        </w:rPr>
        <w:t>辦發言人表示，</w:t>
      </w:r>
      <w:r w:rsidR="008B0303">
        <w:rPr>
          <w:rFonts w:ascii="標楷體" w:hAnsi="標楷體" w:hint="eastAsia"/>
          <w:szCs w:val="26"/>
          <w:lang w:val="x-none"/>
        </w:rPr>
        <w:t>臺</w:t>
      </w:r>
      <w:r w:rsidRPr="00A01811">
        <w:rPr>
          <w:rFonts w:ascii="標楷體" w:hAnsi="標楷體" w:hint="eastAsia"/>
          <w:szCs w:val="26"/>
          <w:lang w:val="x-none"/>
        </w:rPr>
        <w:t>商在自貿區中註冊的企業</w:t>
      </w:r>
      <w:r w:rsidR="009C23C7">
        <w:rPr>
          <w:rFonts w:ascii="標楷體" w:hAnsi="標楷體" w:hint="eastAsia"/>
          <w:szCs w:val="26"/>
          <w:lang w:val="x-none"/>
        </w:rPr>
        <w:t>已達</w:t>
      </w:r>
      <w:r w:rsidRPr="00A01811">
        <w:rPr>
          <w:rFonts w:ascii="標楷體" w:hAnsi="標楷體" w:hint="eastAsia"/>
          <w:szCs w:val="26"/>
          <w:lang w:val="x-none"/>
        </w:rPr>
        <w:t>157家，註冊資本</w:t>
      </w:r>
      <w:r w:rsidR="009C23C7">
        <w:rPr>
          <w:rFonts w:ascii="標楷體" w:hAnsi="標楷體" w:hint="eastAsia"/>
          <w:szCs w:val="26"/>
          <w:lang w:val="x-none"/>
        </w:rPr>
        <w:t>更大幅擴增為</w:t>
      </w:r>
      <w:r w:rsidRPr="00A01811">
        <w:rPr>
          <w:rFonts w:ascii="標楷體" w:hAnsi="標楷體" w:hint="eastAsia"/>
          <w:szCs w:val="26"/>
          <w:lang w:val="x-none"/>
        </w:rPr>
        <w:t>2.7億美元，其中</w:t>
      </w:r>
      <w:r w:rsidR="008B0303">
        <w:rPr>
          <w:rFonts w:ascii="標楷體" w:hAnsi="標楷體" w:hint="eastAsia"/>
          <w:szCs w:val="26"/>
          <w:lang w:val="x-none"/>
        </w:rPr>
        <w:t>臺</w:t>
      </w:r>
      <w:r w:rsidRPr="00A01811">
        <w:rPr>
          <w:rFonts w:ascii="標楷體" w:hAnsi="標楷體" w:hint="eastAsia"/>
          <w:szCs w:val="26"/>
          <w:lang w:val="x-none"/>
        </w:rPr>
        <w:t>商具有優勢的產業為電子商務、金融與醫療等產業，短短</w:t>
      </w:r>
      <w:r w:rsidR="009C23C7">
        <w:rPr>
          <w:rFonts w:ascii="標楷體" w:hAnsi="標楷體" w:hint="eastAsia"/>
          <w:szCs w:val="26"/>
          <w:lang w:val="x-none"/>
        </w:rPr>
        <w:t>不到</w:t>
      </w:r>
      <w:r w:rsidRPr="00A01811">
        <w:rPr>
          <w:rFonts w:ascii="標楷體" w:hAnsi="標楷體" w:hint="eastAsia"/>
          <w:szCs w:val="26"/>
          <w:lang w:val="x-none"/>
        </w:rPr>
        <w:t>一年</w:t>
      </w:r>
      <w:r w:rsidR="009C23C7">
        <w:rPr>
          <w:rFonts w:ascii="標楷體" w:hAnsi="標楷體" w:hint="eastAsia"/>
          <w:szCs w:val="26"/>
          <w:lang w:val="x-none"/>
        </w:rPr>
        <w:t>時</w:t>
      </w:r>
      <w:r w:rsidRPr="00A01811">
        <w:rPr>
          <w:rFonts w:ascii="標楷體" w:hAnsi="標楷體" w:hint="eastAsia"/>
          <w:szCs w:val="26"/>
          <w:lang w:val="x-none"/>
        </w:rPr>
        <w:t>間</w:t>
      </w:r>
      <w:r w:rsidR="008B0303">
        <w:rPr>
          <w:rFonts w:ascii="標楷體" w:hAnsi="標楷體" w:hint="eastAsia"/>
          <w:szCs w:val="26"/>
          <w:lang w:val="x-none"/>
        </w:rPr>
        <w:t>臺</w:t>
      </w:r>
      <w:r w:rsidRPr="00A01811">
        <w:rPr>
          <w:rFonts w:ascii="標楷體" w:hAnsi="標楷體" w:hint="eastAsia"/>
          <w:szCs w:val="26"/>
          <w:lang w:val="x-none"/>
        </w:rPr>
        <w:t>商湧入上海自貿區的速度大增</w:t>
      </w:r>
      <w:r w:rsidR="00196463" w:rsidRPr="00A01811">
        <w:rPr>
          <w:rStyle w:val="aff0"/>
          <w:rFonts w:ascii="標楷體" w:hAnsi="標楷體"/>
          <w:szCs w:val="26"/>
          <w:lang w:val="x-none"/>
        </w:rPr>
        <w:footnoteReference w:id="36"/>
      </w:r>
      <w:r w:rsidRPr="00A01811">
        <w:rPr>
          <w:rFonts w:ascii="標楷體" w:hAnsi="標楷體" w:hint="eastAsia"/>
          <w:szCs w:val="26"/>
          <w:lang w:val="x-none"/>
        </w:rPr>
        <w:t>。在</w:t>
      </w:r>
      <w:r w:rsidR="008B0303">
        <w:rPr>
          <w:rFonts w:ascii="標楷體" w:hAnsi="標楷體" w:hint="eastAsia"/>
          <w:szCs w:val="26"/>
          <w:lang w:val="x-none"/>
        </w:rPr>
        <w:t>臺</w:t>
      </w:r>
      <w:r w:rsidRPr="00A01811">
        <w:rPr>
          <w:rFonts w:ascii="標楷體" w:hAnsi="標楷體" w:hint="eastAsia"/>
          <w:szCs w:val="26"/>
          <w:lang w:val="x-none"/>
        </w:rPr>
        <w:t>商爭相進入自貿區的同時，上海市也在</w:t>
      </w:r>
      <w:r w:rsidR="009C23C7">
        <w:rPr>
          <w:rFonts w:ascii="標楷體" w:hAnsi="標楷體" w:hint="eastAsia"/>
          <w:szCs w:val="26"/>
          <w:lang w:val="x-none"/>
        </w:rPr>
        <w:t>2014</w:t>
      </w:r>
      <w:r w:rsidRPr="00A01811">
        <w:rPr>
          <w:rFonts w:ascii="標楷體" w:hAnsi="標楷體" w:hint="eastAsia"/>
          <w:szCs w:val="26"/>
          <w:lang w:val="x-none"/>
        </w:rPr>
        <w:t>年</w:t>
      </w:r>
      <w:r w:rsidR="009C23C7">
        <w:rPr>
          <w:rFonts w:ascii="標楷體" w:hAnsi="標楷體" w:hint="eastAsia"/>
          <w:szCs w:val="26"/>
          <w:lang w:val="x-none"/>
        </w:rPr>
        <w:t>上半年吸引</w:t>
      </w:r>
      <w:r w:rsidR="008B0303">
        <w:rPr>
          <w:rFonts w:ascii="標楷體" w:hAnsi="標楷體" w:hint="eastAsia"/>
          <w:szCs w:val="26"/>
          <w:lang w:val="x-none"/>
        </w:rPr>
        <w:t>臺</w:t>
      </w:r>
      <w:r w:rsidR="009C23C7">
        <w:rPr>
          <w:rFonts w:ascii="標楷體" w:hAnsi="標楷體" w:hint="eastAsia"/>
          <w:szCs w:val="26"/>
          <w:lang w:val="x-none"/>
        </w:rPr>
        <w:t>商投資</w:t>
      </w:r>
      <w:r w:rsidRPr="00A01811">
        <w:rPr>
          <w:rFonts w:ascii="標楷體" w:hAnsi="標楷體" w:hint="eastAsia"/>
          <w:szCs w:val="26"/>
          <w:lang w:val="x-none"/>
        </w:rPr>
        <w:t>16.4億美元，與去年同期相比增加了</w:t>
      </w:r>
      <w:r w:rsidR="009C23C7">
        <w:rPr>
          <w:rFonts w:ascii="標楷體" w:hAnsi="標楷體" w:hint="eastAsia"/>
          <w:szCs w:val="26"/>
          <w:lang w:val="x-none"/>
        </w:rPr>
        <w:t>多達</w:t>
      </w:r>
      <w:r w:rsidRPr="00A01811">
        <w:rPr>
          <w:rFonts w:ascii="標楷體" w:hAnsi="標楷體" w:hint="eastAsia"/>
          <w:szCs w:val="26"/>
          <w:lang w:val="x-none"/>
        </w:rPr>
        <w:t>7成</w:t>
      </w:r>
      <w:r w:rsidR="009C23C7">
        <w:rPr>
          <w:rFonts w:ascii="標楷體" w:hAnsi="標楷體" w:hint="eastAsia"/>
          <w:szCs w:val="26"/>
          <w:lang w:val="x-none"/>
        </w:rPr>
        <w:t>的</w:t>
      </w:r>
      <w:r w:rsidRPr="00A01811">
        <w:rPr>
          <w:rFonts w:ascii="標楷體" w:hAnsi="標楷體" w:hint="eastAsia"/>
          <w:szCs w:val="26"/>
          <w:lang w:val="x-none"/>
        </w:rPr>
        <w:t>量，</w:t>
      </w:r>
      <w:r w:rsidR="009C23C7">
        <w:rPr>
          <w:rFonts w:ascii="標楷體" w:hAnsi="標楷體" w:hint="eastAsia"/>
          <w:szCs w:val="26"/>
          <w:lang w:val="x-none"/>
        </w:rPr>
        <w:t>可見上海</w:t>
      </w:r>
      <w:r w:rsidRPr="00A01811">
        <w:rPr>
          <w:rFonts w:ascii="標楷體" w:hAnsi="標楷體" w:hint="eastAsia"/>
          <w:szCs w:val="26"/>
          <w:lang w:val="x-none"/>
        </w:rPr>
        <w:t>自貿區的設立也帶動</w:t>
      </w:r>
      <w:r w:rsidR="009C23C7">
        <w:rPr>
          <w:rFonts w:ascii="標楷體" w:hAnsi="標楷體" w:hint="eastAsia"/>
          <w:szCs w:val="26"/>
          <w:lang w:val="x-none"/>
        </w:rPr>
        <w:t>了</w:t>
      </w:r>
      <w:r w:rsidR="008B0303">
        <w:rPr>
          <w:rFonts w:ascii="標楷體" w:hAnsi="標楷體" w:hint="eastAsia"/>
          <w:szCs w:val="26"/>
          <w:lang w:val="x-none"/>
        </w:rPr>
        <w:t>臺</w:t>
      </w:r>
      <w:r w:rsidRPr="00A01811">
        <w:rPr>
          <w:rFonts w:ascii="標楷體" w:hAnsi="標楷體" w:hint="eastAsia"/>
          <w:szCs w:val="26"/>
          <w:lang w:val="x-none"/>
        </w:rPr>
        <w:t>資投資上海市的</w:t>
      </w:r>
      <w:r w:rsidR="009C23C7">
        <w:rPr>
          <w:rFonts w:ascii="標楷體" w:hAnsi="標楷體" w:hint="eastAsia"/>
          <w:szCs w:val="26"/>
          <w:lang w:val="x-none"/>
        </w:rPr>
        <w:t>意願</w:t>
      </w:r>
      <w:r w:rsidR="00196463" w:rsidRPr="00A01811">
        <w:rPr>
          <w:rStyle w:val="aff0"/>
          <w:rFonts w:ascii="標楷體" w:hAnsi="標楷體"/>
          <w:szCs w:val="26"/>
          <w:lang w:val="x-none"/>
        </w:rPr>
        <w:footnoteReference w:id="37"/>
      </w:r>
      <w:r w:rsidRPr="00A01811">
        <w:rPr>
          <w:rFonts w:ascii="標楷體" w:hAnsi="標楷體" w:hint="eastAsia"/>
          <w:szCs w:val="26"/>
          <w:lang w:val="x-none"/>
        </w:rPr>
        <w:t>。</w:t>
      </w:r>
    </w:p>
    <w:p w:rsidR="00FC7402" w:rsidRPr="00136805" w:rsidRDefault="00DB0C74" w:rsidP="00FC7402">
      <w:pPr>
        <w:pStyle w:val="3"/>
        <w:spacing w:beforeLines="100" w:before="360" w:after="72"/>
        <w:rPr>
          <w:rFonts w:ascii="Times New Roman" w:hAnsi="Times New Roman"/>
        </w:rPr>
      </w:pPr>
      <w:r w:rsidRPr="00FF2717">
        <w:rPr>
          <w:rFonts w:ascii="Times New Roman" w:hAnsi="Times New Roman" w:hint="eastAsia"/>
        </w:rPr>
        <w:t>貳、自貿區試驗效應與動向</w:t>
      </w:r>
    </w:p>
    <w:p w:rsidR="00FC7402" w:rsidRDefault="00DB0C74" w:rsidP="00FC7402">
      <w:pPr>
        <w:pStyle w:val="-"/>
        <w:spacing w:before="108" w:after="108"/>
        <w:ind w:firstLine="520"/>
      </w:pPr>
      <w:r>
        <w:rPr>
          <w:rFonts w:hint="eastAsia"/>
        </w:rPr>
        <w:t>上海自貿區實施週年後造成了何種效果？是否能與其引起的關注熱度相匹配？這些問題取決於觀察的角度（例如，以上海角度或是以深化改革推進的角度？），以及預期的高低等。無論如何，我們仍可從較具體的特定面向來理解其效應，以作為其未來仍有至少</w:t>
      </w:r>
      <w:r>
        <w:t>2</w:t>
      </w:r>
      <w:r>
        <w:rPr>
          <w:rFonts w:hint="eastAsia"/>
        </w:rPr>
        <w:t>年的試驗之路提供觀察與思考的依據。首先，我們從上海自貿區的設立對其他地區的直接影響談起，其次，再選擇特定領域－醫療服務，探討上海自貿區發揮的作用，最後，針對自貿區戰略未來動向以及其對</w:t>
      </w:r>
      <w:r w:rsidR="00DE1D40">
        <w:rPr>
          <w:rFonts w:hint="eastAsia"/>
        </w:rPr>
        <w:t>臺</w:t>
      </w:r>
      <w:r>
        <w:rPr>
          <w:rFonts w:hint="eastAsia"/>
        </w:rPr>
        <w:t>灣較重要的意涵進行探討。</w:t>
      </w:r>
    </w:p>
    <w:p w:rsidR="00FC7402" w:rsidRDefault="00DB0C74" w:rsidP="00FC7402">
      <w:pPr>
        <w:pStyle w:val="-"/>
        <w:spacing w:before="108" w:after="108"/>
        <w:ind w:firstLine="520"/>
      </w:pPr>
      <w:r>
        <w:rPr>
          <w:rFonts w:hint="eastAsia"/>
        </w:rPr>
        <w:t>上海自貿區的設立，由於其「政策傾斜」，首先在競爭層面衝擊其週邊區域，包括上海市其他區域、江蘇與浙江省的重要服務業聚集區域等，造成相關高端服務業磁吸進入上海自貿區的效應。當然，由於此一政策並非零和賽局，有更多原本不在長三角進行投資的國際服務業受到吸引而前來，其產業效應是會外溢到自貿區以外的區域，也因此提供了其他地區新的產業機會。</w:t>
      </w:r>
      <w:r w:rsidRPr="00D9643B">
        <w:rPr>
          <w:rFonts w:hint="eastAsia"/>
        </w:rPr>
        <w:t>卞臻禎</w:t>
      </w:r>
      <w:r>
        <w:rPr>
          <w:rFonts w:hint="eastAsia"/>
        </w:rPr>
        <w:t>（</w:t>
      </w:r>
      <w:r>
        <w:t>2014</w:t>
      </w:r>
      <w:r>
        <w:rPr>
          <w:rFonts w:hint="eastAsia"/>
        </w:rPr>
        <w:t>）在分析上海自貿區對於</w:t>
      </w:r>
      <w:r w:rsidRPr="00D9643B">
        <w:rPr>
          <w:rFonts w:hint="eastAsia"/>
        </w:rPr>
        <w:t>蘇州經濟金融的影響</w:t>
      </w:r>
      <w:r>
        <w:rPr>
          <w:rFonts w:hint="eastAsia"/>
        </w:rPr>
        <w:t>時，認為上海自貿區的設立對於長三角地區的經濟事實上是產生了很大的</w:t>
      </w:r>
      <w:r>
        <w:rPr>
          <w:rFonts w:hint="eastAsia"/>
        </w:rPr>
        <w:lastRenderedPageBreak/>
        <w:t>帶動作用，「對於蘇州來說，上海自貿區的啟動不僅意味著可以憑藉地緣優勢分享更多的機遇，同時也意味著短期內不可避免的虹吸效應以及更高的轉型要求」</w:t>
      </w:r>
    </w:p>
    <w:p w:rsidR="00FC7402" w:rsidRDefault="00DB0C74" w:rsidP="00FC7402">
      <w:pPr>
        <w:pStyle w:val="-"/>
        <w:spacing w:before="108" w:after="108"/>
        <w:ind w:firstLine="520"/>
      </w:pPr>
      <w:r>
        <w:rPr>
          <w:rFonts w:hint="eastAsia"/>
        </w:rPr>
        <w:t>而上海自貿區設立之初，討論最多的還是其對於性質接近的特別行政區－香港，尤其是香港金融服務業的競爭關係。張偉、楊文碩（</w:t>
      </w:r>
      <w:r>
        <w:t>2014</w:t>
      </w:r>
      <w:r>
        <w:rPr>
          <w:rFonts w:hint="eastAsia"/>
        </w:rPr>
        <w:t>）透過對</w:t>
      </w:r>
      <w:r w:rsidRPr="00C16B71">
        <w:rPr>
          <w:rFonts w:hint="eastAsia"/>
        </w:rPr>
        <w:t>經濟體系和運行平臺方面的比較</w:t>
      </w:r>
      <w:r>
        <w:rPr>
          <w:rFonts w:hint="eastAsia"/>
        </w:rPr>
        <w:t>以及</w:t>
      </w:r>
      <w:r w:rsidRPr="00C16B71">
        <w:rPr>
          <w:rFonts w:hint="eastAsia"/>
        </w:rPr>
        <w:t>政府管理和金融政策方面的比較</w:t>
      </w:r>
      <w:r>
        <w:rPr>
          <w:rFonts w:hint="eastAsia"/>
        </w:rPr>
        <w:t>，認為「上海自貿區金融將長期扮演激活中國</w:t>
      </w:r>
      <w:r w:rsidR="00271D5D">
        <w:rPr>
          <w:rFonts w:hint="eastAsia"/>
        </w:rPr>
        <w:t>大陸</w:t>
      </w:r>
      <w:r>
        <w:rPr>
          <w:rFonts w:hint="eastAsia"/>
        </w:rPr>
        <w:t>經濟體對外開放的境內離岸槓杆角色，而不是成為香港金融業的專門競爭者。」此外，其認為</w:t>
      </w:r>
      <w:r w:rsidRPr="00C16B71">
        <w:rPr>
          <w:rFonts w:hint="eastAsia"/>
        </w:rPr>
        <w:t>亞太金融市場</w:t>
      </w:r>
      <w:r>
        <w:rPr>
          <w:rFonts w:hint="eastAsia"/>
        </w:rPr>
        <w:t>發展</w:t>
      </w:r>
      <w:r w:rsidRPr="00C16B71">
        <w:rPr>
          <w:rFonts w:hint="eastAsia"/>
        </w:rPr>
        <w:t>呈現明顯的多極化分隔特徵，</w:t>
      </w:r>
      <w:r>
        <w:rPr>
          <w:rFonts w:hint="eastAsia"/>
        </w:rPr>
        <w:t>未來</w:t>
      </w:r>
      <w:r w:rsidRPr="00C16B71">
        <w:rPr>
          <w:rFonts w:hint="eastAsia"/>
        </w:rPr>
        <w:t>任何一個金融中心</w:t>
      </w:r>
      <w:r>
        <w:rPr>
          <w:rFonts w:hint="eastAsia"/>
        </w:rPr>
        <w:t>都</w:t>
      </w:r>
      <w:r w:rsidRPr="00C16B71">
        <w:rPr>
          <w:rFonts w:hint="eastAsia"/>
        </w:rPr>
        <w:t>無法壟斷區域內的多樣化金融需求</w:t>
      </w:r>
      <w:r>
        <w:rPr>
          <w:rFonts w:hint="eastAsia"/>
        </w:rPr>
        <w:t>，上海與香港將更各有其發展空間與不同定位</w:t>
      </w:r>
      <w:r w:rsidRPr="00C16B71">
        <w:rPr>
          <w:rFonts w:hint="eastAsia"/>
        </w:rPr>
        <w:t>。</w:t>
      </w:r>
    </w:p>
    <w:p w:rsidR="00FC7402" w:rsidRDefault="00DB0C74" w:rsidP="00FC7402">
      <w:pPr>
        <w:pStyle w:val="-"/>
        <w:spacing w:before="108" w:after="108"/>
        <w:ind w:firstLine="520"/>
      </w:pPr>
      <w:r>
        <w:rPr>
          <w:rFonts w:hint="eastAsia"/>
        </w:rPr>
        <w:t>至於在特定服務業領域內，我們以下就醫療服務業來說明上海自貿區的作用。中國大陸早於</w:t>
      </w:r>
      <w:r>
        <w:t>2010</w:t>
      </w:r>
      <w:r>
        <w:rPr>
          <w:rFonts w:hint="eastAsia"/>
        </w:rPr>
        <w:t>年發布《關於進一步鼓勵和引導社會資本舉辦醫療機構意見的通知》，提出「對具備條件的境外資本在我國境內設立獨資醫療機構進行試點，逐步放開」；然而，上述政令頒出後，試點推進的腳步較為緩慢，一直要到上海自貿區設立後才有較明顯的進展：</w:t>
      </w:r>
      <w:r>
        <w:t>2013</w:t>
      </w:r>
      <w:r>
        <w:rPr>
          <w:rFonts w:hint="eastAsia"/>
        </w:rPr>
        <w:t>年</w:t>
      </w:r>
      <w:r>
        <w:t>9</w:t>
      </w:r>
      <w:r>
        <w:rPr>
          <w:rFonts w:hint="eastAsia"/>
        </w:rPr>
        <w:t>月，上海自貿區成立時，已有條件允許設立外商獨資醫療機構。</w:t>
      </w:r>
      <w:r>
        <w:t>2014</w:t>
      </w:r>
      <w:r>
        <w:rPr>
          <w:rFonts w:hint="eastAsia"/>
        </w:rPr>
        <w:t>年</w:t>
      </w:r>
      <w:r w:rsidRPr="00C74F59">
        <w:t>7</w:t>
      </w:r>
      <w:r w:rsidRPr="00C74F59">
        <w:rPr>
          <w:rFonts w:hint="eastAsia"/>
        </w:rPr>
        <w:t>月</w:t>
      </w:r>
      <w:r w:rsidRPr="00C74F59">
        <w:t>1</w:t>
      </w:r>
      <w:r w:rsidRPr="00C74F59">
        <w:rPr>
          <w:rFonts w:hint="eastAsia"/>
        </w:rPr>
        <w:t>日，上海自貿試驗區推出進一步擴大開放的所謂「新</w:t>
      </w:r>
      <w:r w:rsidRPr="00C74F59">
        <w:t>31</w:t>
      </w:r>
      <w:r w:rsidRPr="00C74F59">
        <w:rPr>
          <w:rFonts w:hint="eastAsia"/>
        </w:rPr>
        <w:t>條」措施中，關於「投資醫療機構投資總額不得低於</w:t>
      </w:r>
      <w:r w:rsidR="00E4377E" w:rsidRPr="00C74F59">
        <w:rPr>
          <w:rFonts w:hint="eastAsia"/>
        </w:rPr>
        <w:t>2</w:t>
      </w:r>
      <w:r w:rsidR="00196463" w:rsidRPr="00C74F59">
        <w:rPr>
          <w:rFonts w:hint="eastAsia"/>
        </w:rPr>
        <w:t>千</w:t>
      </w:r>
      <w:r w:rsidRPr="00C74F59">
        <w:rPr>
          <w:rFonts w:hint="eastAsia"/>
        </w:rPr>
        <w:t>萬元，不允許設立分支機搆，經營期限不得超過</w:t>
      </w:r>
      <w:r w:rsidRPr="00C74F59">
        <w:t>20</w:t>
      </w:r>
      <w:r w:rsidRPr="00C74F59">
        <w:rPr>
          <w:rFonts w:hint="eastAsia"/>
        </w:rPr>
        <w:t>年」的條款被縮減為「不允許設立分支機搆」，雖是</w:t>
      </w:r>
      <w:r w:rsidRPr="00827DB0">
        <w:rPr>
          <w:rFonts w:hint="eastAsia"/>
        </w:rPr>
        <w:t>微小</w:t>
      </w:r>
      <w:r>
        <w:rPr>
          <w:rFonts w:hint="eastAsia"/>
        </w:rPr>
        <w:t>的</w:t>
      </w:r>
      <w:r w:rsidRPr="00827DB0">
        <w:rPr>
          <w:rFonts w:hint="eastAsia"/>
        </w:rPr>
        <w:t>變化</w:t>
      </w:r>
      <w:r>
        <w:rPr>
          <w:rFonts w:hint="eastAsia"/>
        </w:rPr>
        <w:t>，卻實質</w:t>
      </w:r>
      <w:r w:rsidRPr="00827DB0">
        <w:rPr>
          <w:rFonts w:hint="eastAsia"/>
        </w:rPr>
        <w:t>放寬了外資進入醫療機構投資的門檻</w:t>
      </w:r>
      <w:r w:rsidR="00196463">
        <w:rPr>
          <w:rStyle w:val="aff0"/>
        </w:rPr>
        <w:footnoteReference w:id="38"/>
      </w:r>
      <w:r w:rsidRPr="00827DB0">
        <w:rPr>
          <w:rFonts w:hint="eastAsia"/>
        </w:rPr>
        <w:t>。</w:t>
      </w:r>
    </w:p>
    <w:p w:rsidR="00FC7402" w:rsidRDefault="00DB0C74" w:rsidP="00FC7402">
      <w:pPr>
        <w:pStyle w:val="-"/>
        <w:spacing w:before="108" w:after="108"/>
        <w:ind w:firstLine="520"/>
      </w:pPr>
      <w:r>
        <w:rPr>
          <w:rFonts w:hint="eastAsia"/>
        </w:rPr>
        <w:t>因此，來自國際的許多醫療事業都紛紛表達希望在上海自貿區投資的意願，然而從</w:t>
      </w:r>
      <w:r>
        <w:t>23</w:t>
      </w:r>
      <w:r>
        <w:rPr>
          <w:rFonts w:hint="eastAsia"/>
        </w:rPr>
        <w:t>家競爭者之中，拔得頭籌的是德國公司－</w:t>
      </w:r>
      <w:r w:rsidRPr="00C30C77">
        <w:rPr>
          <w:rFonts w:hint="eastAsia"/>
        </w:rPr>
        <w:t>德國</w:t>
      </w:r>
      <w:r>
        <w:t>Artemed</w:t>
      </w:r>
      <w:r>
        <w:rPr>
          <w:rFonts w:hint="eastAsia"/>
        </w:rPr>
        <w:t>集團與</w:t>
      </w:r>
      <w:r w:rsidRPr="00C30C77">
        <w:rPr>
          <w:rFonts w:hint="eastAsia"/>
        </w:rPr>
        <w:t>銀山資本</w:t>
      </w:r>
      <w:r>
        <w:rPr>
          <w:rFonts w:hint="eastAsia"/>
        </w:rPr>
        <w:t>（德國與奧地利資金在香港註冊之投資公司）</w:t>
      </w:r>
      <w:r w:rsidRPr="00C30C77">
        <w:rPr>
          <w:rFonts w:hint="eastAsia"/>
        </w:rPr>
        <w:t>將在</w:t>
      </w:r>
      <w:r>
        <w:rPr>
          <w:rFonts w:hint="eastAsia"/>
        </w:rPr>
        <w:t>上海自貿區設立中國大陸首家外資獨資</w:t>
      </w:r>
      <w:r w:rsidRPr="00C30C77">
        <w:rPr>
          <w:rFonts w:hint="eastAsia"/>
        </w:rPr>
        <w:t>醫院</w:t>
      </w:r>
      <w:r>
        <w:rPr>
          <w:rFonts w:hint="eastAsia"/>
        </w:rPr>
        <w:t>（不包括港澳臺的話）</w:t>
      </w:r>
      <w:r w:rsidRPr="00C30C77">
        <w:rPr>
          <w:rFonts w:hint="eastAsia"/>
        </w:rPr>
        <w:t>，</w:t>
      </w:r>
      <w:r>
        <w:rPr>
          <w:rFonts w:hint="eastAsia"/>
        </w:rPr>
        <w:t>其亦</w:t>
      </w:r>
      <w:r w:rsidRPr="00C30C77">
        <w:rPr>
          <w:rFonts w:hint="eastAsia"/>
        </w:rPr>
        <w:t>與上海</w:t>
      </w:r>
      <w:r w:rsidRPr="00C30C77">
        <w:rPr>
          <w:rFonts w:hint="eastAsia"/>
        </w:rPr>
        <w:lastRenderedPageBreak/>
        <w:t>外高橋集團</w:t>
      </w:r>
      <w:r>
        <w:rPr>
          <w:rFonts w:hint="eastAsia"/>
        </w:rPr>
        <w:t>下屬的外高橋保稅區三聯發展有限公司以及</w:t>
      </w:r>
      <w:r w:rsidRPr="00C30C77">
        <w:rPr>
          <w:rFonts w:hint="eastAsia"/>
        </w:rPr>
        <w:t>外高橋醫療保健中心共同簽訂</w:t>
      </w:r>
      <w:r>
        <w:rPr>
          <w:rFonts w:hint="eastAsia"/>
        </w:rPr>
        <w:t>合作</w:t>
      </w:r>
      <w:r w:rsidRPr="00C30C77">
        <w:rPr>
          <w:rFonts w:hint="eastAsia"/>
        </w:rPr>
        <w:t>戰略</w:t>
      </w:r>
      <w:r>
        <w:rPr>
          <w:rFonts w:hint="eastAsia"/>
        </w:rPr>
        <w:t>，對於中國大陸醫療服務業來說是歷史性的里程碑。該醫院預計以兩年時間規劃建置完成。</w:t>
      </w:r>
      <w:r w:rsidRPr="00C30C77">
        <w:rPr>
          <w:rFonts w:hint="eastAsia"/>
        </w:rPr>
        <w:t>建立外商獨資醫院，有利於引入全球頂尖醫療設備技術，從而提高本地醫療設備的升級，造福於民</w:t>
      </w:r>
      <w:r w:rsidR="00196463">
        <w:rPr>
          <w:rStyle w:val="aff0"/>
        </w:rPr>
        <w:footnoteReference w:id="39"/>
      </w:r>
      <w:r w:rsidRPr="00C30C77">
        <w:rPr>
          <w:rFonts w:hint="eastAsia"/>
        </w:rPr>
        <w:t>。</w:t>
      </w:r>
    </w:p>
    <w:p w:rsidR="00FC7402" w:rsidRDefault="00DB0C74" w:rsidP="00FC7402">
      <w:pPr>
        <w:pStyle w:val="-"/>
        <w:spacing w:before="108" w:after="108"/>
        <w:ind w:firstLine="520"/>
      </w:pPr>
      <w:r>
        <w:rPr>
          <w:rFonts w:hint="eastAsia"/>
        </w:rPr>
        <w:t>而此一事件僅僅是一個開端，一個由上海自貿區啟動的開端，後續將會有更多案例發生。</w:t>
      </w:r>
      <w:r w:rsidRPr="00C30C77">
        <w:rPr>
          <w:rFonts w:hint="eastAsia"/>
        </w:rPr>
        <w:t>根據</w:t>
      </w:r>
      <w:r>
        <w:t>2014</w:t>
      </w:r>
      <w:r>
        <w:rPr>
          <w:rFonts w:hint="eastAsia"/>
        </w:rPr>
        <w:t>年</w:t>
      </w:r>
      <w:r w:rsidRPr="00C30C77">
        <w:t>5</w:t>
      </w:r>
      <w:r w:rsidRPr="00C30C77">
        <w:rPr>
          <w:rFonts w:hint="eastAsia"/>
        </w:rPr>
        <w:t>月份</w:t>
      </w:r>
      <w:r>
        <w:rPr>
          <w:rFonts w:hint="eastAsia"/>
        </w:rPr>
        <w:t>，</w:t>
      </w:r>
      <w:r w:rsidR="00F468EE">
        <w:rPr>
          <w:rFonts w:hint="eastAsia"/>
        </w:rPr>
        <w:t>中國大陸國務院</w:t>
      </w:r>
      <w:r w:rsidRPr="00C30C77">
        <w:rPr>
          <w:rFonts w:hint="eastAsia"/>
        </w:rPr>
        <w:t>印發</w:t>
      </w:r>
      <w:r>
        <w:rPr>
          <w:rFonts w:hint="eastAsia"/>
        </w:rPr>
        <w:t>之</w:t>
      </w:r>
      <w:r w:rsidRPr="00C30C77">
        <w:rPr>
          <w:rFonts w:hint="eastAsia"/>
        </w:rPr>
        <w:t>《深化醫藥衛生體制改革</w:t>
      </w:r>
      <w:r w:rsidRPr="00C30C77">
        <w:t>2014</w:t>
      </w:r>
      <w:r w:rsidRPr="00C30C77">
        <w:rPr>
          <w:rFonts w:hint="eastAsia"/>
        </w:rPr>
        <w:t>年重點工作任務》</w:t>
      </w:r>
      <w:r>
        <w:rPr>
          <w:rFonts w:hint="eastAsia"/>
        </w:rPr>
        <w:t>，就已經顯示</w:t>
      </w:r>
      <w:r w:rsidRPr="00C30C77">
        <w:rPr>
          <w:rFonts w:hint="eastAsia"/>
        </w:rPr>
        <w:t>中國</w:t>
      </w:r>
      <w:r>
        <w:rPr>
          <w:rFonts w:hint="eastAsia"/>
        </w:rPr>
        <w:t>大陸</w:t>
      </w:r>
      <w:r w:rsidRPr="00C30C77">
        <w:rPr>
          <w:rFonts w:hint="eastAsia"/>
        </w:rPr>
        <w:t>正在逐步放寬</w:t>
      </w:r>
      <w:r>
        <w:rPr>
          <w:rFonts w:hint="eastAsia"/>
        </w:rPr>
        <w:t>中外</w:t>
      </w:r>
      <w:r w:rsidRPr="00C30C77">
        <w:rPr>
          <w:rFonts w:hint="eastAsia"/>
        </w:rPr>
        <w:t>合資醫療機構的准入條件，並減少對外資持股比例的限制。</w:t>
      </w:r>
      <w:r>
        <w:t>2014</w:t>
      </w:r>
      <w:r>
        <w:rPr>
          <w:rFonts w:hint="eastAsia"/>
        </w:rPr>
        <w:t>年</w:t>
      </w:r>
      <w:r>
        <w:t>8</w:t>
      </w:r>
      <w:r w:rsidRPr="00C30C77">
        <w:rPr>
          <w:rFonts w:hint="eastAsia"/>
        </w:rPr>
        <w:t>月</w:t>
      </w:r>
      <w:r>
        <w:rPr>
          <w:rFonts w:hint="eastAsia"/>
        </w:rPr>
        <w:t>底，</w:t>
      </w:r>
      <w:r w:rsidRPr="00196463">
        <w:rPr>
          <w:rFonts w:hint="eastAsia"/>
        </w:rPr>
        <w:t>中國</w:t>
      </w:r>
      <w:r w:rsidR="00196463" w:rsidRPr="00196463">
        <w:rPr>
          <w:rFonts w:hint="eastAsia"/>
        </w:rPr>
        <w:t>大陸</w:t>
      </w:r>
      <w:r w:rsidRPr="00196463">
        <w:rPr>
          <w:rFonts w:hint="eastAsia"/>
        </w:rPr>
        <w:t>國家</w:t>
      </w:r>
      <w:r w:rsidRPr="00276DC2">
        <w:rPr>
          <w:rFonts w:hint="eastAsia"/>
        </w:rPr>
        <w:t>衛計委和商務部聯合下發了《關於開展設立外資獨資醫院試點工作的通知》，</w:t>
      </w:r>
      <w:r>
        <w:rPr>
          <w:rFonts w:hint="eastAsia"/>
        </w:rPr>
        <w:t>允許境外投資者通過新設或併</w:t>
      </w:r>
      <w:r w:rsidRPr="00276DC2">
        <w:rPr>
          <w:rFonts w:hint="eastAsia"/>
        </w:rPr>
        <w:t>購的方式在北京、天津、上海、江蘇、福建、廣東、海南等</w:t>
      </w:r>
      <w:r w:rsidRPr="00276DC2">
        <w:t>7</w:t>
      </w:r>
      <w:r>
        <w:rPr>
          <w:rFonts w:hint="eastAsia"/>
        </w:rPr>
        <w:t>省市設立外資獨資醫院；但</w:t>
      </w:r>
      <w:r w:rsidRPr="00276DC2">
        <w:rPr>
          <w:rFonts w:hint="eastAsia"/>
        </w:rPr>
        <w:t>中醫類醫院</w:t>
      </w:r>
      <w:r>
        <w:rPr>
          <w:rFonts w:hint="eastAsia"/>
        </w:rPr>
        <w:t>僅限於</w:t>
      </w:r>
      <w:r w:rsidRPr="00276DC2">
        <w:rPr>
          <w:rFonts w:hint="eastAsia"/>
        </w:rPr>
        <w:t>香港、澳門和臺灣</w:t>
      </w:r>
      <w:r>
        <w:rPr>
          <w:rFonts w:hint="eastAsia"/>
        </w:rPr>
        <w:t>之</w:t>
      </w:r>
      <w:r w:rsidRPr="00276DC2">
        <w:rPr>
          <w:rFonts w:hint="eastAsia"/>
        </w:rPr>
        <w:t>投資者。</w:t>
      </w:r>
      <w:r>
        <w:rPr>
          <w:rFonts w:hint="eastAsia"/>
        </w:rPr>
        <w:t>當然，一連串的開放代表著更多開放，但其「倒逼改革」的成效，包括醫療設備採購規範、中外醫護人員執業與訓練、民眾醫療保險銜接問題、政府對於醫療領域的高度管制與審批等，都還有賴較長時間來進行調整與修正</w:t>
      </w:r>
      <w:r w:rsidR="00196463">
        <w:rPr>
          <w:rStyle w:val="aff0"/>
        </w:rPr>
        <w:footnoteReference w:id="40"/>
      </w:r>
      <w:r>
        <w:rPr>
          <w:rFonts w:hint="eastAsia"/>
        </w:rPr>
        <w:t>。</w:t>
      </w:r>
    </w:p>
    <w:p w:rsidR="00FC7402" w:rsidRDefault="00DB0C74" w:rsidP="00FC7402">
      <w:pPr>
        <w:pStyle w:val="-"/>
        <w:spacing w:before="108" w:after="108"/>
        <w:ind w:firstLine="520"/>
      </w:pPr>
      <w:r>
        <w:rPr>
          <w:rFonts w:hint="eastAsia"/>
        </w:rPr>
        <w:t>最後，關於自貿區戰略的未來動向，首先可以就其所帶動的地方申請熱潮來看。我們知道，</w:t>
      </w:r>
      <w:r w:rsidRPr="00FD5F24">
        <w:rPr>
          <w:rFonts w:hint="eastAsia"/>
        </w:rPr>
        <w:t>由於</w:t>
      </w:r>
      <w:r>
        <w:rPr>
          <w:rFonts w:hint="eastAsia"/>
        </w:rPr>
        <w:t>習李時代不再如胡溫時代後半期批准大量國家級地方發展規劃，另一類以制度試驗為目的的綜合配套改革試驗區也已暫停進行績效評估，使得</w:t>
      </w:r>
      <w:r>
        <w:t>2013</w:t>
      </w:r>
      <w:r>
        <w:rPr>
          <w:rFonts w:hint="eastAsia"/>
        </w:rPr>
        <w:t>年</w:t>
      </w:r>
      <w:r>
        <w:t>9</w:t>
      </w:r>
      <w:r>
        <w:rPr>
          <w:rFonts w:hint="eastAsia"/>
        </w:rPr>
        <w:t>月上海自貿區的實施儼然成為新一輪地方競逐區域性「政策利多」以便借力帶動地方發展的新希望（劉柏定，</w:t>
      </w:r>
      <w:r>
        <w:t>2014</w:t>
      </w:r>
      <w:r>
        <w:rPr>
          <w:rFonts w:hint="eastAsia"/>
        </w:rPr>
        <w:t>）。因此，上海自貿區推行不久後，眾多地方省市</w:t>
      </w:r>
      <w:r w:rsidRPr="00FD5F24">
        <w:rPr>
          <w:rFonts w:hint="eastAsia"/>
        </w:rPr>
        <w:t>也紛紛</w:t>
      </w:r>
      <w:r>
        <w:rPr>
          <w:rFonts w:hint="eastAsia"/>
        </w:rPr>
        <w:t>尋求各種符合自身條件的理由</w:t>
      </w:r>
      <w:r w:rsidRPr="00FD5F24">
        <w:rPr>
          <w:rFonts w:hint="eastAsia"/>
        </w:rPr>
        <w:t>向上申請</w:t>
      </w:r>
      <w:r>
        <w:rPr>
          <w:rFonts w:hint="eastAsia"/>
        </w:rPr>
        <w:t>。在</w:t>
      </w:r>
      <w:r>
        <w:t>2014</w:t>
      </w:r>
      <w:r>
        <w:rPr>
          <w:rFonts w:hint="eastAsia"/>
        </w:rPr>
        <w:t>年初，在許多</w:t>
      </w:r>
      <w:r w:rsidRPr="00395852">
        <w:rPr>
          <w:rFonts w:hint="eastAsia"/>
        </w:rPr>
        <w:t>召開的地方兩會</w:t>
      </w:r>
      <w:r>
        <w:rPr>
          <w:rFonts w:hint="eastAsia"/>
        </w:rPr>
        <w:t>當</w:t>
      </w:r>
      <w:r w:rsidRPr="00395852">
        <w:rPr>
          <w:rFonts w:hint="eastAsia"/>
        </w:rPr>
        <w:t>中，就有包括沿海、中部、沿邊的十</w:t>
      </w:r>
      <w:r>
        <w:rPr>
          <w:rFonts w:hint="eastAsia"/>
        </w:rPr>
        <w:t>多個地方把申報自貿區列入</w:t>
      </w:r>
      <w:r>
        <w:t>2014</w:t>
      </w:r>
      <w:r w:rsidRPr="00395852">
        <w:rPr>
          <w:rFonts w:hint="eastAsia"/>
        </w:rPr>
        <w:t>年</w:t>
      </w:r>
      <w:r>
        <w:rPr>
          <w:rFonts w:hint="eastAsia"/>
        </w:rPr>
        <w:t>的</w:t>
      </w:r>
      <w:r w:rsidRPr="00395852">
        <w:rPr>
          <w:rFonts w:hint="eastAsia"/>
        </w:rPr>
        <w:t>重點工作</w:t>
      </w:r>
      <w:r>
        <w:rPr>
          <w:rFonts w:hint="eastAsia"/>
        </w:rPr>
        <w:t>項目。據</w:t>
      </w:r>
      <w:r w:rsidRPr="00395852">
        <w:rPr>
          <w:rFonts w:hint="eastAsia"/>
        </w:rPr>
        <w:t>悉，已經有</w:t>
      </w:r>
      <w:r w:rsidRPr="00395852">
        <w:t>12</w:t>
      </w:r>
      <w:r w:rsidRPr="00395852">
        <w:rPr>
          <w:rFonts w:hint="eastAsia"/>
        </w:rPr>
        <w:t>個地方自貿區獲得</w:t>
      </w:r>
      <w:r w:rsidR="00F468EE">
        <w:rPr>
          <w:rFonts w:hint="eastAsia"/>
        </w:rPr>
        <w:t>中國大陸國務院</w:t>
      </w:r>
      <w:r>
        <w:rPr>
          <w:rFonts w:hint="eastAsia"/>
        </w:rPr>
        <w:t>同意進入由中</w:t>
      </w:r>
      <w:r>
        <w:rPr>
          <w:rFonts w:hint="eastAsia"/>
        </w:rPr>
        <w:lastRenderedPageBreak/>
        <w:t>央啟動</w:t>
      </w:r>
      <w:r w:rsidRPr="00395852">
        <w:rPr>
          <w:rFonts w:hint="eastAsia"/>
        </w:rPr>
        <w:t>多部委聯合調研的階段</w:t>
      </w:r>
      <w:r w:rsidR="00196463">
        <w:rPr>
          <w:rStyle w:val="aff0"/>
        </w:rPr>
        <w:footnoteReference w:id="41"/>
      </w:r>
      <w:r w:rsidRPr="00395852">
        <w:rPr>
          <w:rFonts w:hint="eastAsia"/>
        </w:rPr>
        <w:t>。</w:t>
      </w:r>
      <w:r w:rsidRPr="00FD5F24">
        <w:rPr>
          <w:rFonts w:hint="eastAsia"/>
        </w:rPr>
        <w:t>當然，</w:t>
      </w:r>
      <w:r>
        <w:rPr>
          <w:rFonts w:hint="eastAsia"/>
        </w:rPr>
        <w:t>在中央「全國一盤棋」的考量之下，未來就算批准，</w:t>
      </w:r>
      <w:r w:rsidRPr="00FD5F24">
        <w:rPr>
          <w:rFonts w:hint="eastAsia"/>
        </w:rPr>
        <w:t>各地</w:t>
      </w:r>
      <w:r>
        <w:rPr>
          <w:rFonts w:hint="eastAsia"/>
        </w:rPr>
        <w:t>的</w:t>
      </w:r>
      <w:r w:rsidRPr="00FD5F24">
        <w:rPr>
          <w:rFonts w:hint="eastAsia"/>
        </w:rPr>
        <w:t>自貿區定位與內容也</w:t>
      </w:r>
      <w:r>
        <w:rPr>
          <w:rFonts w:hint="eastAsia"/>
        </w:rPr>
        <w:t>一定</w:t>
      </w:r>
      <w:r w:rsidRPr="00FD5F24">
        <w:rPr>
          <w:rFonts w:hint="eastAsia"/>
        </w:rPr>
        <w:t>會有所不同</w:t>
      </w:r>
      <w:r>
        <w:rPr>
          <w:rFonts w:hint="eastAsia"/>
        </w:rPr>
        <w:t>，以滿足地方試驗的終極目標－推廣全國</w:t>
      </w:r>
      <w:r w:rsidRPr="00FD5F24">
        <w:rPr>
          <w:rFonts w:hint="eastAsia"/>
        </w:rPr>
        <w:t>。</w:t>
      </w:r>
      <w:r>
        <w:rPr>
          <w:rFonts w:hint="eastAsia"/>
        </w:rPr>
        <w:t>根據報導，在</w:t>
      </w:r>
      <w:r>
        <w:t>2014</w:t>
      </w:r>
      <w:r>
        <w:rPr>
          <w:rFonts w:hint="eastAsia"/>
        </w:rPr>
        <w:t>年</w:t>
      </w:r>
      <w:r>
        <w:t>10</w:t>
      </w:r>
      <w:r>
        <w:rPr>
          <w:rFonts w:hint="eastAsia"/>
        </w:rPr>
        <w:t>月的</w:t>
      </w:r>
      <w:r w:rsidRPr="00C2149D">
        <w:rPr>
          <w:rFonts w:hint="eastAsia"/>
        </w:rPr>
        <w:t>中共第十八屆四中全會閉幕後，可望</w:t>
      </w:r>
      <w:r>
        <w:rPr>
          <w:rFonts w:hint="eastAsia"/>
        </w:rPr>
        <w:t>再</w:t>
      </w:r>
      <w:r w:rsidRPr="00C2149D">
        <w:rPr>
          <w:rFonts w:hint="eastAsia"/>
        </w:rPr>
        <w:t>發布第</w:t>
      </w:r>
      <w:r w:rsidRPr="00C2149D">
        <w:t>2</w:t>
      </w:r>
      <w:r w:rsidRPr="00C2149D">
        <w:rPr>
          <w:rFonts w:hint="eastAsia"/>
        </w:rPr>
        <w:t>批地方自貿</w:t>
      </w:r>
      <w:r>
        <w:rPr>
          <w:rFonts w:hint="eastAsia"/>
        </w:rPr>
        <w:t>試驗</w:t>
      </w:r>
      <w:r w:rsidRPr="00C2149D">
        <w:rPr>
          <w:rFonts w:hint="eastAsia"/>
        </w:rPr>
        <w:t>區，</w:t>
      </w:r>
      <w:r>
        <w:rPr>
          <w:rFonts w:hint="eastAsia"/>
        </w:rPr>
        <w:t>據指出，可能的名單包括了</w:t>
      </w:r>
      <w:r w:rsidRPr="00C2149D">
        <w:rPr>
          <w:rFonts w:hint="eastAsia"/>
        </w:rPr>
        <w:t>天津、廣東</w:t>
      </w:r>
      <w:r>
        <w:rPr>
          <w:rFonts w:hint="eastAsia"/>
        </w:rPr>
        <w:t>與福建</w:t>
      </w:r>
      <w:r w:rsidR="00196463">
        <w:rPr>
          <w:rStyle w:val="aff0"/>
        </w:rPr>
        <w:footnoteReference w:id="42"/>
      </w:r>
      <w:r>
        <w:rPr>
          <w:rFonts w:hint="eastAsia"/>
        </w:rPr>
        <w:t>；天津自貿區可能涵蓋東疆保稅港區、天津港保稅區和濱海新區中心商務區，主要特色是</w:t>
      </w:r>
      <w:r w:rsidRPr="00C2149D">
        <w:rPr>
          <w:rFonts w:hint="eastAsia"/>
        </w:rPr>
        <w:t>服務貿易和金融業開放</w:t>
      </w:r>
      <w:r>
        <w:rPr>
          <w:rFonts w:hint="eastAsia"/>
        </w:rPr>
        <w:t>；廣東自貿區可能包括</w:t>
      </w:r>
      <w:r w:rsidRPr="00A72A47">
        <w:rPr>
          <w:rFonts w:hint="eastAsia"/>
        </w:rPr>
        <w:t>南沙、前海、橫琴</w:t>
      </w:r>
      <w:r>
        <w:rPr>
          <w:rFonts w:hint="eastAsia"/>
        </w:rPr>
        <w:t>與白雲機場，主要特色是</w:t>
      </w:r>
      <w:r w:rsidRPr="00C2149D">
        <w:rPr>
          <w:rFonts w:hint="eastAsia"/>
        </w:rPr>
        <w:t>貨物和貿易自由化</w:t>
      </w:r>
      <w:r>
        <w:rPr>
          <w:rFonts w:hint="eastAsia"/>
        </w:rPr>
        <w:t>以及面向港澳；福建自貿區由廈門與平潭構成，主要特色是兩岸自貿區或甚至是</w:t>
      </w:r>
      <w:r>
        <w:t>ECFA</w:t>
      </w:r>
      <w:r>
        <w:rPr>
          <w:rFonts w:hint="eastAsia"/>
        </w:rPr>
        <w:t>試驗區等。當然，這些都是外界的消息或是推測，有待官方最後拍板</w:t>
      </w:r>
      <w:r w:rsidR="007B11B8">
        <w:rPr>
          <w:rFonts w:hint="eastAsia"/>
        </w:rPr>
        <w:t>公布</w:t>
      </w:r>
      <w:r>
        <w:rPr>
          <w:rFonts w:hint="eastAsia"/>
        </w:rPr>
        <w:t>。</w:t>
      </w:r>
    </w:p>
    <w:p w:rsidR="00FC7402" w:rsidRDefault="00DB0C74" w:rsidP="00FC7402">
      <w:pPr>
        <w:pStyle w:val="-"/>
        <w:spacing w:before="108" w:after="108"/>
        <w:ind w:firstLine="520"/>
      </w:pPr>
      <w:r>
        <w:rPr>
          <w:rFonts w:hint="eastAsia"/>
        </w:rPr>
        <w:t>若論及上海自貿區對我國之意涵，同樣可以從許多層次切入。首先，可以從自貿區試驗「在上海」的角度來說，</w:t>
      </w:r>
      <w:r w:rsidR="00DE1D40">
        <w:rPr>
          <w:rFonts w:hint="eastAsia"/>
        </w:rPr>
        <w:t>臺</w:t>
      </w:r>
      <w:r>
        <w:rPr>
          <w:rFonts w:hint="eastAsia"/>
        </w:rPr>
        <w:t>商在中國大陸經營最深厚的地方在長三角，上海尤其是許多</w:t>
      </w:r>
      <w:r w:rsidR="00DE1D40">
        <w:rPr>
          <w:rFonts w:hint="eastAsia"/>
        </w:rPr>
        <w:t>臺</w:t>
      </w:r>
      <w:r>
        <w:rPr>
          <w:rFonts w:hint="eastAsia"/>
        </w:rPr>
        <w:t>商服務業的聚集之處，上海自貿區對於長三角</w:t>
      </w:r>
      <w:r w:rsidR="00DE1D40">
        <w:rPr>
          <w:rFonts w:hint="eastAsia"/>
        </w:rPr>
        <w:t>臺</w:t>
      </w:r>
      <w:r>
        <w:rPr>
          <w:rFonts w:hint="eastAsia"/>
        </w:rPr>
        <w:t>商來說，提供了一個新契機，可以對於其在整個長三角的經營來思考利用上海自貿區－包括自己進入自貿區或是與進入自貿區的其他企業進行合作等。此一思考方式配合兩岸近來談論較多的所謂「區對區」合作，則有了所謂</w:t>
      </w:r>
      <w:r w:rsidR="00DE1D40">
        <w:rPr>
          <w:rFonts w:hint="eastAsia"/>
        </w:rPr>
        <w:t>臺</w:t>
      </w:r>
      <w:r w:rsidRPr="002B39B6">
        <w:rPr>
          <w:rFonts w:hint="eastAsia"/>
        </w:rPr>
        <w:t>灣幾處「自由經濟示範區」與包括上海自貿區或是平潭綜合實驗區等中國大陸具有特殊政策的區域進行合作對接的看法。本研究訪談之上海對</w:t>
      </w:r>
      <w:r w:rsidR="00DE1D40">
        <w:rPr>
          <w:rFonts w:hint="eastAsia"/>
        </w:rPr>
        <w:t>臺</w:t>
      </w:r>
      <w:r w:rsidRPr="002B39B6">
        <w:rPr>
          <w:rFonts w:hint="eastAsia"/>
        </w:rPr>
        <w:t>專家亦認為兩岸區域間的合作對接等同於生產要素可在兩岸間更自由的流動，形成微型共同市場，同時，以保稅形式或前店後廠形式，還可以讓其擴大運行範圍到區外，值得兩岸持續探討。</w:t>
      </w:r>
    </w:p>
    <w:p w:rsidR="00FC7402" w:rsidRDefault="00DB0C74" w:rsidP="00FC7402">
      <w:pPr>
        <w:pStyle w:val="-"/>
        <w:spacing w:before="108" w:after="108"/>
        <w:ind w:firstLine="520"/>
      </w:pPr>
      <w:r>
        <w:rPr>
          <w:rFonts w:hint="eastAsia"/>
        </w:rPr>
        <w:t>然而，上海自貿區主要的意義還是在於其對於中國大陸深化改革推進的諸多試驗角色，其與前</w:t>
      </w:r>
      <w:r>
        <w:t>30</w:t>
      </w:r>
      <w:r>
        <w:rPr>
          <w:rFonts w:hint="eastAsia"/>
        </w:rPr>
        <w:t>年的沿海特區開放具有完全不同的意義。也因此，</w:t>
      </w:r>
      <w:r w:rsidRPr="00304771">
        <w:rPr>
          <w:rFonts w:hint="eastAsia"/>
        </w:rPr>
        <w:t>上海自由貿易區的推進，</w:t>
      </w:r>
      <w:r>
        <w:rPr>
          <w:rFonts w:hint="eastAsia"/>
        </w:rPr>
        <w:t>在</w:t>
      </w:r>
      <w:r w:rsidRPr="00304771">
        <w:rPr>
          <w:rFonts w:hint="eastAsia"/>
        </w:rPr>
        <w:t>促進轉變政府職能、探索管理新模式，</w:t>
      </w:r>
      <w:r w:rsidRPr="00304771">
        <w:rPr>
          <w:rFonts w:hint="eastAsia"/>
        </w:rPr>
        <w:lastRenderedPageBreak/>
        <w:t>加快體制機制創新</w:t>
      </w:r>
      <w:r>
        <w:rPr>
          <w:rFonts w:hint="eastAsia"/>
        </w:rPr>
        <w:t>的</w:t>
      </w:r>
      <w:r w:rsidRPr="00304771">
        <w:rPr>
          <w:rFonts w:hint="eastAsia"/>
        </w:rPr>
        <w:t>同時，也為打造兩岸</w:t>
      </w:r>
      <w:r>
        <w:rPr>
          <w:rFonts w:hint="eastAsia"/>
        </w:rPr>
        <w:t>整體</w:t>
      </w:r>
      <w:r w:rsidRPr="00304771">
        <w:rPr>
          <w:rFonts w:hint="eastAsia"/>
        </w:rPr>
        <w:t>經濟合作升級版提供了新契機。</w:t>
      </w:r>
      <w:r>
        <w:rPr>
          <w:rFonts w:hint="eastAsia"/>
        </w:rPr>
        <w:t>尤其是其主要在於</w:t>
      </w:r>
      <w:r w:rsidRPr="00304771">
        <w:rPr>
          <w:rFonts w:hint="eastAsia"/>
        </w:rPr>
        <w:t>擴大服務業開放，</w:t>
      </w:r>
      <w:r>
        <w:rPr>
          <w:rFonts w:hint="eastAsia"/>
        </w:rPr>
        <w:t>以</w:t>
      </w:r>
      <w:r w:rsidRPr="00304771">
        <w:rPr>
          <w:rFonts w:hint="eastAsia"/>
        </w:rPr>
        <w:t>適應全球服務業快速發展的潮流，加快經濟結構調整升級</w:t>
      </w:r>
      <w:r>
        <w:rPr>
          <w:rFonts w:hint="eastAsia"/>
        </w:rPr>
        <w:t>；因此，</w:t>
      </w:r>
      <w:r w:rsidRPr="00304771">
        <w:rPr>
          <w:rFonts w:hint="eastAsia"/>
        </w:rPr>
        <w:t>隨著上海自貿區對外開放</w:t>
      </w:r>
      <w:r>
        <w:rPr>
          <w:rFonts w:hint="eastAsia"/>
        </w:rPr>
        <w:t>持續擴大</w:t>
      </w:r>
      <w:r w:rsidRPr="00304771">
        <w:rPr>
          <w:rFonts w:hint="eastAsia"/>
        </w:rPr>
        <w:t>，以及</w:t>
      </w:r>
      <w:r>
        <w:rPr>
          <w:rFonts w:hint="eastAsia"/>
        </w:rPr>
        <w:t>後續</w:t>
      </w:r>
      <w:r w:rsidRPr="00304771">
        <w:rPr>
          <w:rFonts w:hint="eastAsia"/>
        </w:rPr>
        <w:t>其他自由貿易園（港）</w:t>
      </w:r>
      <w:r>
        <w:rPr>
          <w:rFonts w:hint="eastAsia"/>
        </w:rPr>
        <w:t>試驗區可能陸續推動</w:t>
      </w:r>
      <w:r w:rsidRPr="00304771">
        <w:rPr>
          <w:rFonts w:hint="eastAsia"/>
        </w:rPr>
        <w:t>，</w:t>
      </w:r>
      <w:r>
        <w:rPr>
          <w:rFonts w:hint="eastAsia"/>
        </w:rPr>
        <w:t>再配合中國大陸推動服務業進階發展，</w:t>
      </w:r>
      <w:r w:rsidRPr="00304771">
        <w:rPr>
          <w:rFonts w:hint="eastAsia"/>
        </w:rPr>
        <w:t>全球跨國公司服務業將加</w:t>
      </w:r>
      <w:r>
        <w:rPr>
          <w:rFonts w:hint="eastAsia"/>
        </w:rPr>
        <w:t>速到此投資，並帶動當地</w:t>
      </w:r>
      <w:r w:rsidRPr="00304771">
        <w:rPr>
          <w:rFonts w:hint="eastAsia"/>
        </w:rPr>
        <w:t>服務業迅速發展。</w:t>
      </w:r>
      <w:r>
        <w:rPr>
          <w:rFonts w:hint="eastAsia"/>
        </w:rPr>
        <w:t>劉雪琴（</w:t>
      </w:r>
      <w:r>
        <w:t>2014</w:t>
      </w:r>
      <w:r>
        <w:rPr>
          <w:rFonts w:hint="eastAsia"/>
        </w:rPr>
        <w:t>）認為</w:t>
      </w:r>
      <w:r w:rsidR="00DE1D40">
        <w:rPr>
          <w:rFonts w:hint="eastAsia"/>
        </w:rPr>
        <w:t>臺</w:t>
      </w:r>
      <w:r>
        <w:rPr>
          <w:rFonts w:hint="eastAsia"/>
        </w:rPr>
        <w:t>灣應該利用兩岸服務貿易協議的簽署以及上述諸多面向的契機，來實現</w:t>
      </w:r>
      <w:r w:rsidRPr="00304771">
        <w:rPr>
          <w:rFonts w:hint="eastAsia"/>
        </w:rPr>
        <w:t>兩岸服務業優勢互補、共同發展的目標，</w:t>
      </w:r>
      <w:r>
        <w:rPr>
          <w:rFonts w:hint="eastAsia"/>
        </w:rPr>
        <w:t>將</w:t>
      </w:r>
      <w:r w:rsidRPr="00304771">
        <w:rPr>
          <w:rFonts w:hint="eastAsia"/>
        </w:rPr>
        <w:t>兩岸經濟合作逐步由傳統的製造環節加快向生產及生活服務業延伸。</w:t>
      </w:r>
    </w:p>
    <w:p w:rsidR="00FC7402" w:rsidRDefault="00FC7402" w:rsidP="00FC7402">
      <w:pPr>
        <w:pStyle w:val="2"/>
        <w:spacing w:beforeLines="100" w:before="360" w:after="108"/>
      </w:pPr>
      <w:bookmarkStart w:id="61" w:name="_Toc405462595"/>
      <w:r w:rsidRPr="00E066CE">
        <w:rPr>
          <w:rFonts w:hint="eastAsia"/>
        </w:rPr>
        <w:t>第四節　小結</w:t>
      </w:r>
      <w:bookmarkEnd w:id="61"/>
    </w:p>
    <w:p w:rsidR="00FC7402" w:rsidRDefault="00DB0C74" w:rsidP="00FC7402">
      <w:pPr>
        <w:pStyle w:val="-"/>
        <w:spacing w:before="108" w:after="108"/>
        <w:ind w:firstLine="520"/>
      </w:pPr>
      <w:r>
        <w:rPr>
          <w:rFonts w:hint="eastAsia"/>
        </w:rPr>
        <w:t>標誌著中國大陸未來面向</w:t>
      </w:r>
      <w:r>
        <w:t>2020</w:t>
      </w:r>
      <w:r>
        <w:rPr>
          <w:rFonts w:hint="eastAsia"/>
        </w:rPr>
        <w:t>年的發展藍圖－三中全會改革文件《決定》將「構建開放型經濟新體制」列為排序第六的改革領域，主要思維在於對內與對外開放相互促進、讓引進來與走出去有更佳結合、促進國際國內要素自由流動、加快培育參與和引領國際經濟合作競爭新優勢，以開放促進改革。「開放」曾經在</w:t>
      </w:r>
      <w:r>
        <w:t>1978</w:t>
      </w:r>
      <w:r>
        <w:rPr>
          <w:rFonts w:hint="eastAsia"/>
        </w:rPr>
        <w:t>年時扮演整個中國大陸經濟轉軌的關鍵動力，促進了改革的推進；時代更迭，</w:t>
      </w:r>
      <w:r>
        <w:t>2013</w:t>
      </w:r>
      <w:r>
        <w:rPr>
          <w:rFonts w:hint="eastAsia"/>
        </w:rPr>
        <w:t>年關於深化改革的決定，面向著過去</w:t>
      </w:r>
      <w:r>
        <w:t>30</w:t>
      </w:r>
      <w:r>
        <w:rPr>
          <w:rFonts w:hint="eastAsia"/>
        </w:rPr>
        <w:t>多年未能或是沒有急迫性要進行的改革，如今的改革已是更高層次、更困難的「深水區」改革。也因此，《決定》當中較重要的主要在於「改革」這個層次。</w:t>
      </w:r>
    </w:p>
    <w:p w:rsidR="00FC7402" w:rsidRDefault="00DB0C74" w:rsidP="00FC7402">
      <w:pPr>
        <w:pStyle w:val="-"/>
        <w:spacing w:before="108" w:after="108"/>
        <w:ind w:firstLine="520"/>
      </w:pPr>
      <w:r>
        <w:rPr>
          <w:rFonts w:hint="eastAsia"/>
        </w:rPr>
        <w:t>不過，現在的「開放」也早已非當年的「開放」層次所能比擬的了。「構建開放型經濟新體制」是因應國際新形式的背景下所提出，既繼承過去</w:t>
      </w:r>
      <w:r>
        <w:t>35</w:t>
      </w:r>
      <w:r>
        <w:rPr>
          <w:rFonts w:hint="eastAsia"/>
        </w:rPr>
        <w:t>年來的改革開放經驗，也是習近平要完成「中國夢」，所必須面對的國際戰略問題－以建立新的大國形象為主軸，對外之戰略除了爭取海外資源、市場、投資，更要重視平衡、尊重和合作。如果說過去的開放就是決定把門打開，現在的開放就是要決定如何與門外的所有力量互動，以強化</w:t>
      </w:r>
      <w:r w:rsidR="004E6E5B">
        <w:rPr>
          <w:rFonts w:hint="eastAsia"/>
        </w:rPr>
        <w:lastRenderedPageBreak/>
        <w:t>自身發展與對世界的影響力，在</w:t>
      </w:r>
      <w:r w:rsidR="004E6E5B">
        <w:rPr>
          <w:rFonts w:hint="eastAsia"/>
        </w:rPr>
        <w:t>2014</w:t>
      </w:r>
      <w:r w:rsidR="004E6E5B">
        <w:rPr>
          <w:rFonts w:hint="eastAsia"/>
        </w:rPr>
        <w:t>年北京</w:t>
      </w:r>
      <w:r w:rsidR="004E6E5B">
        <w:rPr>
          <w:rFonts w:hint="eastAsia"/>
        </w:rPr>
        <w:t>APEC</w:t>
      </w:r>
      <w:r w:rsidR="004E6E5B">
        <w:rPr>
          <w:rFonts w:hint="eastAsia"/>
        </w:rPr>
        <w:t>會議的主辦與主導議題當中，我們可以看到中國大陸宏大的企圖心。</w:t>
      </w:r>
    </w:p>
    <w:p w:rsidR="00FC7402" w:rsidRDefault="00DB0C74" w:rsidP="00FC7402">
      <w:pPr>
        <w:pStyle w:val="-"/>
        <w:spacing w:before="108" w:after="108"/>
        <w:ind w:firstLine="520"/>
      </w:pPr>
      <w:r>
        <w:rPr>
          <w:rFonts w:hint="eastAsia"/>
        </w:rPr>
        <w:t>在此一脈絡下，中國大陸的對外開放與區域經貿戰略，既有與國際互動之內涵亦有國內配套次戰略的</w:t>
      </w:r>
      <w:r w:rsidR="0035101D">
        <w:rPr>
          <w:rFonts w:hint="eastAsia"/>
        </w:rPr>
        <w:t>部分</w:t>
      </w:r>
      <w:r>
        <w:rPr>
          <w:rFonts w:hint="eastAsia"/>
        </w:rPr>
        <w:t>，既有積極對外開放的策略亦有內部制度改革的配套；大戰略中有小處著眼的地方，局部政策中亦可窺見宏觀戰略的企圖。無論是海陸絲路戰略、區域經貿戰略或是上海自貿區試驗等，置於前述之脈絡下，可以看到其相互連動的關係。如果較為簡略地說，以對外關係而言，中國大陸面對</w:t>
      </w:r>
      <w:r>
        <w:t>TPP</w:t>
      </w:r>
      <w:r>
        <w:rPr>
          <w:rFonts w:hint="eastAsia"/>
        </w:rPr>
        <w:t>、</w:t>
      </w:r>
      <w:r>
        <w:t>RCEP</w:t>
      </w:r>
      <w:r>
        <w:rPr>
          <w:rFonts w:hint="eastAsia"/>
        </w:rPr>
        <w:t>與</w:t>
      </w:r>
      <w:r>
        <w:t>FTAAP</w:t>
      </w:r>
      <w:r>
        <w:rPr>
          <w:rFonts w:hint="eastAsia"/>
        </w:rPr>
        <w:t>等的區域經貿戰略以及上海自貿區試驗，可以說是應對美國的話；那麼絲綢之陸經濟帶和</w:t>
      </w:r>
      <w:r>
        <w:t>21</w:t>
      </w:r>
      <w:r>
        <w:rPr>
          <w:rFonts w:hint="eastAsia"/>
        </w:rPr>
        <w:t>世紀海上絲綢之路的戰略，則是應對歐亞大陸的戰略（又以歐洲為主）。</w:t>
      </w:r>
    </w:p>
    <w:p w:rsidR="001374A5" w:rsidRDefault="004F14BA" w:rsidP="001374A5">
      <w:pPr>
        <w:pStyle w:val="-"/>
        <w:spacing w:before="108" w:after="108"/>
        <w:ind w:firstLine="520"/>
      </w:pPr>
      <w:r>
        <w:rPr>
          <w:rFonts w:hint="eastAsia"/>
        </w:rPr>
        <w:t>三中深化改革文件中亦提及要「</w:t>
      </w:r>
      <w:r w:rsidRPr="007B626D">
        <w:rPr>
          <w:rFonts w:hint="eastAsia"/>
        </w:rPr>
        <w:t>加快沿邊開放步伐，允許沿邊重點口岸、邊境城市、經濟合作區在人員往來、加工物流、旅遊等方面實行特殊方式和政策</w:t>
      </w:r>
      <w:r>
        <w:rPr>
          <w:rFonts w:hint="eastAsia"/>
        </w:rPr>
        <w:t>」；</w:t>
      </w:r>
      <w:r w:rsidRPr="00FD5F24">
        <w:rPr>
          <w:rFonts w:hint="eastAsia"/>
        </w:rPr>
        <w:t>近年來，中國大陸邊境貿易快速發展，</w:t>
      </w:r>
      <w:r w:rsidR="00EB12B3" w:rsidRPr="00FD5F24">
        <w:rPr>
          <w:rFonts w:hint="eastAsia"/>
        </w:rPr>
        <w:t>跨境（邊境）經濟合作成為中國大陸沿邊境地區開放開發的一個策略，中國大陸已經在新疆、雲南、廣西、內蒙古、遼寧等省區設立</w:t>
      </w:r>
      <w:r w:rsidR="00EB12B3" w:rsidRPr="00FD5F24">
        <w:t>15</w:t>
      </w:r>
      <w:r w:rsidR="00EB12B3" w:rsidRPr="00FD5F24">
        <w:rPr>
          <w:rFonts w:hint="eastAsia"/>
        </w:rPr>
        <w:t>個邊境經濟合作區，並且將內</w:t>
      </w:r>
      <w:r w:rsidR="00EB12B3">
        <w:rPr>
          <w:rFonts w:hint="eastAsia"/>
        </w:rPr>
        <w:t>蒙古滿洲里</w:t>
      </w:r>
      <w:r w:rsidR="001374A5">
        <w:rPr>
          <w:rFonts w:hint="eastAsia"/>
        </w:rPr>
        <w:t>、雲南瑞麗及廣西東興做為重點開放開發試驗區，這些政策可能都是為了絲路戰略預做準備，但由於在</w:t>
      </w:r>
      <w:r w:rsidR="001374A5">
        <w:rPr>
          <w:rFonts w:hint="eastAsia"/>
        </w:rPr>
        <w:t>2014</w:t>
      </w:r>
      <w:r w:rsidR="001374A5">
        <w:rPr>
          <w:rFonts w:hint="eastAsia"/>
        </w:rPr>
        <w:t>年政策新動向較少，未在前列深入討論。</w:t>
      </w:r>
    </w:p>
    <w:p w:rsidR="00FC7402" w:rsidRDefault="00DB0C74" w:rsidP="00FC7402">
      <w:pPr>
        <w:pStyle w:val="-"/>
        <w:spacing w:before="108" w:after="108"/>
        <w:ind w:firstLine="520"/>
      </w:pPr>
      <w:r>
        <w:rPr>
          <w:rFonts w:hint="eastAsia"/>
        </w:rPr>
        <w:t>整體而言，習近平和李克強對外經貿戰略已經完全走出鄧小平「韜光養晦」路線，而是以「奮發有為」的大國風範圍為核心思維，未來中國大陸將以更主動積極融入世界經濟發展，並展開一套自己的做法，尤其是主導話語權和議題的設置。</w:t>
      </w:r>
    </w:p>
    <w:p w:rsidR="00FC7402" w:rsidRDefault="00DB0C74" w:rsidP="00FC7402">
      <w:pPr>
        <w:pStyle w:val="-"/>
        <w:spacing w:before="108" w:after="108"/>
        <w:ind w:firstLine="520"/>
      </w:pPr>
      <w:r>
        <w:rPr>
          <w:rFonts w:hint="eastAsia"/>
        </w:rPr>
        <w:t>以此觀之，我國除了持續關注對岸此一最大貿易夥伴與政治上的最大對手之各項重要改革動態，並且關注其各項戰略或政策對我國經貿與產業的機會與挑戰如前列諸小節所探討之外，我們必須就長遠的戰略意涵，來思考在可預見的未來，面對國力日趨強大、國際影響力日趨強大的中國大</w:t>
      </w:r>
      <w:r>
        <w:rPr>
          <w:rFonts w:hint="eastAsia"/>
        </w:rPr>
        <w:lastRenderedPageBreak/>
        <w:t>陸持續崛起，我國如何及早改變過去的認知與慣性，在有限的空間內尋求最佳的生存之道。當然，此一大問題已遠超出本研究能力範圍，以下就前述討論對我之意涵進行扼要整理。</w:t>
      </w:r>
    </w:p>
    <w:p w:rsidR="00FC7402" w:rsidRDefault="00DB0C74" w:rsidP="00FC7402">
      <w:pPr>
        <w:pStyle w:val="-"/>
        <w:spacing w:before="108" w:after="108"/>
        <w:ind w:firstLine="520"/>
      </w:pPr>
      <w:r>
        <w:rPr>
          <w:rFonts w:hint="eastAsia"/>
        </w:rPr>
        <w:t>在海陸絲綢之路戰略中，初期會以基礎設施為主要可能機會，在中國大陸逐漸向參與</w:t>
      </w:r>
      <w:r>
        <w:t>WTO</w:t>
      </w:r>
      <w:r>
        <w:rPr>
          <w:rFonts w:hint="eastAsia"/>
        </w:rPr>
        <w:t>下之</w:t>
      </w:r>
      <w:r>
        <w:t>GPA</w:t>
      </w:r>
      <w:r>
        <w:rPr>
          <w:rFonts w:hint="eastAsia"/>
        </w:rPr>
        <w:t>調整時，我國應積極探討在部分營造、機電或資訊設備領域之機會，甚至透過</w:t>
      </w:r>
      <w:r>
        <w:t>ECFA</w:t>
      </w:r>
      <w:r>
        <w:rPr>
          <w:rFonts w:hint="eastAsia"/>
        </w:rPr>
        <w:t>架構下之協商，直接與中國大陸商談或是架構更適當的平臺，來協助</w:t>
      </w:r>
      <w:r w:rsidR="00DE1D40">
        <w:rPr>
          <w:rFonts w:hint="eastAsia"/>
        </w:rPr>
        <w:t>臺</w:t>
      </w:r>
      <w:r>
        <w:rPr>
          <w:rFonts w:hint="eastAsia"/>
        </w:rPr>
        <w:t>商參與建設之機會。此外，對於在大陸內陸較有基礎的臺商而言，投資經營視野應由「開發中國大陸內需」再加上「開拓中、西、南亞以及歐洲國際市場」之概念。</w:t>
      </w:r>
    </w:p>
    <w:p w:rsidR="00382191" w:rsidRDefault="00DB0C74" w:rsidP="00FC7402">
      <w:pPr>
        <w:pStyle w:val="-"/>
        <w:spacing w:before="108" w:after="108"/>
        <w:ind w:firstLine="520"/>
      </w:pPr>
      <w:r>
        <w:rPr>
          <w:rFonts w:hint="eastAsia"/>
        </w:rPr>
        <w:t>在區域整合動態方面，種種作為在在顯示出中國大陸對區域經濟整合更趨積極與主動，彰顯出區域經貿整合是習李對外經貿新戰略，甚至是對外整體戰略中相當重要的一環。由於中國大陸</w:t>
      </w:r>
      <w:r w:rsidR="00382191">
        <w:rPr>
          <w:rFonts w:hint="eastAsia"/>
        </w:rPr>
        <w:t>主導</w:t>
      </w:r>
      <w:r w:rsidR="00382191">
        <w:rPr>
          <w:rFonts w:hint="eastAsia"/>
        </w:rPr>
        <w:t>RCEP</w:t>
      </w:r>
      <w:r w:rsidR="00382191">
        <w:rPr>
          <w:rFonts w:hint="eastAsia"/>
        </w:rPr>
        <w:t>之發展、</w:t>
      </w:r>
      <w:r>
        <w:rPr>
          <w:rFonts w:hint="eastAsia"/>
        </w:rPr>
        <w:t>已經表達加入</w:t>
      </w:r>
      <w:r>
        <w:t>TPP</w:t>
      </w:r>
      <w:r>
        <w:rPr>
          <w:rFonts w:hint="eastAsia"/>
        </w:rPr>
        <w:t>之意願，</w:t>
      </w:r>
      <w:r w:rsidR="00382191">
        <w:rPr>
          <w:rFonts w:hint="eastAsia"/>
        </w:rPr>
        <w:t>且對於推動</w:t>
      </w:r>
      <w:r w:rsidR="00382191">
        <w:rPr>
          <w:rFonts w:hint="eastAsia"/>
        </w:rPr>
        <w:t>FTAAP</w:t>
      </w:r>
      <w:r w:rsidR="00382191">
        <w:rPr>
          <w:rFonts w:hint="eastAsia"/>
        </w:rPr>
        <w:t>亦十分積極，我國面對國際區域經貿整合的新發展無論如何都無法避開中國大陸的影響，且其影響力將日益增強，我國除應及早進行各項議題的整合性探討研究外，應積極利用現有兩岸可對話溝通之平臺包括海基海協兩會、</w:t>
      </w:r>
      <w:r w:rsidR="008E3977">
        <w:rPr>
          <w:rFonts w:hint="eastAsia"/>
        </w:rPr>
        <w:t>ECFA</w:t>
      </w:r>
      <w:r w:rsidR="008E3977">
        <w:rPr>
          <w:rFonts w:hint="eastAsia"/>
        </w:rPr>
        <w:t>下之兩岸經合會、</w:t>
      </w:r>
      <w:r w:rsidR="008E3977">
        <w:rPr>
          <w:rFonts w:hint="eastAsia"/>
        </w:rPr>
        <w:t>APEC</w:t>
      </w:r>
      <w:r w:rsidR="008E3977">
        <w:rPr>
          <w:rFonts w:hint="eastAsia"/>
        </w:rPr>
        <w:t>、</w:t>
      </w:r>
      <w:r w:rsidR="008E3977">
        <w:rPr>
          <w:rFonts w:hint="eastAsia"/>
        </w:rPr>
        <w:t>WTO</w:t>
      </w:r>
      <w:r w:rsidR="008E3977">
        <w:rPr>
          <w:rFonts w:hint="eastAsia"/>
        </w:rPr>
        <w:t>或博鰲論壇等國際性平臺，甚至包括以臺商為主的相關兩岸論壇或學術性研討會等，與對岸就相關議題進行溝通，以降低我國推進參與國際經貿整合工作中的不確定性。</w:t>
      </w:r>
    </w:p>
    <w:p w:rsidR="00FC7402" w:rsidRDefault="00DB0C74" w:rsidP="00FC7402">
      <w:pPr>
        <w:pStyle w:val="-"/>
        <w:spacing w:before="108" w:after="108"/>
        <w:ind w:firstLine="520"/>
      </w:pPr>
      <w:r>
        <w:rPr>
          <w:rFonts w:hint="eastAsia"/>
        </w:rPr>
        <w:t>在上海自貿區方面，除了由於</w:t>
      </w:r>
      <w:r w:rsidR="00DE1D40">
        <w:rPr>
          <w:rFonts w:hint="eastAsia"/>
        </w:rPr>
        <w:t>臺</w:t>
      </w:r>
      <w:r>
        <w:rPr>
          <w:rFonts w:hint="eastAsia"/>
        </w:rPr>
        <w:t>商在中國大陸經營最深厚的地方在長三角，所以上海自貿區提供了一個區域發展的新契機之外；就我國整體掌握中國大陸各項深化改革動向上，必須注意上海自貿區的基本性質終究是其在深化改革推進中諸多試驗的場域，在關注上海的同時亦要掌握其「自貿區試驗」措施可能在未來推展實施的意涵，以便及早擬定相關政策之因應。</w:t>
      </w:r>
    </w:p>
    <w:p w:rsidR="00EB12B3" w:rsidRPr="00FC7402" w:rsidRDefault="00EB12B3" w:rsidP="001539CC">
      <w:pPr>
        <w:pStyle w:val="-"/>
        <w:spacing w:before="108" w:after="108"/>
        <w:ind w:firstLine="520"/>
      </w:pPr>
    </w:p>
    <w:p w:rsidR="001539CC" w:rsidRDefault="001539CC" w:rsidP="001539CC">
      <w:pPr>
        <w:pStyle w:val="-"/>
        <w:spacing w:before="108" w:after="108"/>
        <w:ind w:firstLineChars="0" w:firstLine="0"/>
      </w:pPr>
    </w:p>
    <w:p w:rsidR="001539CC" w:rsidRDefault="001539CC" w:rsidP="001539CC">
      <w:pPr>
        <w:pStyle w:val="-"/>
        <w:spacing w:before="108" w:after="108"/>
        <w:ind w:firstLine="520"/>
        <w:sectPr w:rsidR="001539CC" w:rsidSect="00510EC9">
          <w:type w:val="oddPage"/>
          <w:pgSz w:w="11906" w:h="16838"/>
          <w:pgMar w:top="1440" w:right="1800" w:bottom="1440" w:left="1800" w:header="851" w:footer="992" w:gutter="0"/>
          <w:cols w:space="425"/>
          <w:docGrid w:type="lines" w:linePitch="360"/>
        </w:sectPr>
      </w:pPr>
    </w:p>
    <w:p w:rsidR="004163FA" w:rsidRPr="00D15001" w:rsidRDefault="004163FA" w:rsidP="004163FA">
      <w:pPr>
        <w:pStyle w:val="1"/>
      </w:pPr>
      <w:bookmarkStart w:id="62" w:name="_Toc405462596"/>
      <w:r w:rsidRPr="00D15001">
        <w:rPr>
          <w:rFonts w:hint="eastAsia"/>
        </w:rPr>
        <w:lastRenderedPageBreak/>
        <w:t>第五章　自動化趨勢對兩岸製造業競爭之影響</w:t>
      </w:r>
      <w:bookmarkEnd w:id="62"/>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由於三中全會的改革文件主要是針對制度層面來宣示改革方向，雖然對於未來產業發展與支援的制度環境面有很大影響，但並未直接針對產業面有太多著墨。然而，其在社會面開放了第二胎限制的重要政策可以看到未來人口結構變化勢必改變中國大陸以勞力密集產業為主體的製造業型態。因此，</w:t>
      </w:r>
      <w:r w:rsidRPr="00D15001">
        <w:rPr>
          <w:rFonts w:eastAsia="標楷體"/>
          <w:sz w:val="26"/>
        </w:rPr>
        <w:t>2014</w:t>
      </w:r>
      <w:r w:rsidRPr="00D15001">
        <w:rPr>
          <w:rFonts w:eastAsia="標楷體" w:hint="eastAsia"/>
          <w:sz w:val="26"/>
        </w:rPr>
        <w:t>年全國兩會政府報告的工作總體部署提及，要「透過新型工業化加快轉型升級調整結構，提高發展質量和效益」。在九項重點工作領域中，節能環保多次被提及，安全生產被單獨列出。在這樣的背景下，製造業為了得以實現新型工業化、節能環保、安全生產等訴求，自動化是相當重要的發展趨勢。</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由於自動化包含領域相當廣泛，屬於應用領域範疇，是一個隨著科技持續進步的發展過程，其包含電機、電子、感側、控制、資訊等各項專業領域的知識與技術所構建組成的系統設備。就由於自動化涵蓋領域廣，難以用單一量化指標表示發展程度，在此僅能依循一般慣例將工業機器人視為重要標的。工業機器人在自動化發展過程中佔有關鍵地位，必須先由機械以取代人力操作，才得以進入後段的資訊自動化境界，所以工業機器人的研發、製造和應用常被視為觀察自動化發展的重要標的。因此以下在探討自動化議題會適時將工業機器人納入一併討論，以瞭解目前自動化情況以及未來發展趨勢。</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本章首先敘述全球與中國大陸自動化發展現況，輔以臺灣資料做比較，以瞭解兩岸製造業情勢變化。其次，探討兩岸自動化趨勢，分別從電子業和食品業進行觀察。最後，綜合上述分析臺灣在中國大陸製造業快速發展自動化的趨勢下，所面臨的機會與挑戰。</w:t>
      </w:r>
    </w:p>
    <w:p w:rsidR="004163FA" w:rsidRPr="004373BA" w:rsidRDefault="004163FA" w:rsidP="004373BA">
      <w:pPr>
        <w:pStyle w:val="2"/>
        <w:spacing w:beforeLines="100" w:before="360" w:after="108"/>
      </w:pPr>
      <w:bookmarkStart w:id="63" w:name="_Toc405462597"/>
      <w:r w:rsidRPr="00D15001">
        <w:lastRenderedPageBreak/>
        <w:t xml:space="preserve">第一節　</w:t>
      </w:r>
      <w:r w:rsidRPr="00D15001">
        <w:rPr>
          <w:rFonts w:hint="eastAsia"/>
        </w:rPr>
        <w:t>全球趨勢下中國大陸自動化發展</w:t>
      </w:r>
      <w:bookmarkEnd w:id="63"/>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自動化已是製造業追求生產效率和品質的一個重要趨勢，也是先進製造領域不可或缺的重要內涵。廣義自動化為不用人力</w:t>
      </w:r>
      <w:r w:rsidRPr="00D15001">
        <w:rPr>
          <w:rFonts w:ascii="新細明體" w:hAnsi="新細明體" w:hint="eastAsia"/>
          <w:sz w:val="26"/>
        </w:rPr>
        <w:t>（</w:t>
      </w:r>
      <w:r w:rsidRPr="00D15001">
        <w:rPr>
          <w:rFonts w:eastAsia="標楷體" w:hint="eastAsia"/>
          <w:sz w:val="26"/>
        </w:rPr>
        <w:t>包括腦力與體力</w:t>
      </w:r>
      <w:r w:rsidRPr="00D15001">
        <w:rPr>
          <w:rFonts w:ascii="新細明體" w:hAnsi="新細明體" w:hint="eastAsia"/>
          <w:sz w:val="26"/>
        </w:rPr>
        <w:t>）</w:t>
      </w:r>
      <w:r w:rsidRPr="00D15001">
        <w:rPr>
          <w:rFonts w:eastAsia="標楷體" w:hint="eastAsia"/>
          <w:sz w:val="26"/>
        </w:rPr>
        <w:t>，使用動物以外的能源，如機械、水力、電力、汽力及其他能源，</w:t>
      </w:r>
      <w:r w:rsidRPr="00D15001">
        <w:rPr>
          <w:rFonts w:eastAsia="標楷體"/>
          <w:sz w:val="26"/>
        </w:rPr>
        <w:t xml:space="preserve"> </w:t>
      </w:r>
      <w:r w:rsidRPr="00D15001">
        <w:rPr>
          <w:rFonts w:eastAsia="標楷體" w:hint="eastAsia"/>
          <w:sz w:val="26"/>
        </w:rPr>
        <w:t>代替人力操縱、控制及監視設備或程式，以節省人力及時間，</w:t>
      </w:r>
      <w:r w:rsidRPr="00D15001">
        <w:rPr>
          <w:rFonts w:eastAsia="標楷體"/>
          <w:sz w:val="26"/>
        </w:rPr>
        <w:t xml:space="preserve"> </w:t>
      </w:r>
      <w:r w:rsidRPr="00D15001">
        <w:rPr>
          <w:rFonts w:eastAsia="標楷體" w:hint="eastAsia"/>
          <w:sz w:val="26"/>
        </w:rPr>
        <w:t>並且減少人為錯誤，提高產品品質等</w:t>
      </w:r>
      <w:r w:rsidRPr="00D15001">
        <w:rPr>
          <w:rFonts w:ascii="新細明體" w:hAnsi="新細明體" w:hint="eastAsia"/>
          <w:sz w:val="26"/>
        </w:rPr>
        <w:t>（</w:t>
      </w:r>
      <w:r w:rsidRPr="00D15001">
        <w:rPr>
          <w:rFonts w:eastAsia="標楷體" w:hint="eastAsia"/>
          <w:sz w:val="26"/>
        </w:rPr>
        <w:t>郭興家、劉新在，</w:t>
      </w:r>
      <w:r w:rsidRPr="00D15001">
        <w:rPr>
          <w:rFonts w:eastAsia="標楷體"/>
          <w:sz w:val="26"/>
        </w:rPr>
        <w:t>1993</w:t>
      </w:r>
      <w:r w:rsidRPr="00D15001">
        <w:rPr>
          <w:rFonts w:ascii="新細明體" w:hAnsi="新細明體" w:hint="eastAsia"/>
          <w:sz w:val="26"/>
        </w:rPr>
        <w:t>）</w:t>
      </w:r>
      <w:r w:rsidRPr="00D15001">
        <w:rPr>
          <w:rFonts w:eastAsia="標楷體" w:hint="eastAsia"/>
          <w:sz w:val="26"/>
        </w:rPr>
        <w:t>。狹義的自動化則為應用機械、電子與電腦化的系統，來操作及控制生產的科技，包括：</w:t>
      </w:r>
      <w:r w:rsidRPr="00D15001">
        <w:rPr>
          <w:rFonts w:eastAsia="標楷體"/>
          <w:sz w:val="26"/>
        </w:rPr>
        <w:t xml:space="preserve">1. </w:t>
      </w:r>
      <w:r w:rsidRPr="00D15001">
        <w:rPr>
          <w:rFonts w:eastAsia="標楷體" w:hint="eastAsia"/>
          <w:sz w:val="26"/>
        </w:rPr>
        <w:t>處理零組件的自動化工具機；</w:t>
      </w:r>
      <w:r w:rsidRPr="00D15001">
        <w:rPr>
          <w:rFonts w:eastAsia="標楷體"/>
          <w:sz w:val="26"/>
        </w:rPr>
        <w:t xml:space="preserve">2. </w:t>
      </w:r>
      <w:r w:rsidRPr="00D15001">
        <w:rPr>
          <w:rFonts w:eastAsia="標楷體" w:hint="eastAsia"/>
          <w:sz w:val="26"/>
        </w:rPr>
        <w:t>工業機器人；</w:t>
      </w:r>
      <w:r w:rsidRPr="00D15001">
        <w:rPr>
          <w:rFonts w:eastAsia="標楷體"/>
          <w:sz w:val="26"/>
        </w:rPr>
        <w:t xml:space="preserve">3. </w:t>
      </w:r>
      <w:r w:rsidRPr="00D15001">
        <w:rPr>
          <w:rFonts w:eastAsia="標楷體" w:hint="eastAsia"/>
          <w:sz w:val="26"/>
        </w:rPr>
        <w:t>自動化的物料搬運及儲存系統；</w:t>
      </w:r>
      <w:r w:rsidRPr="00D15001">
        <w:rPr>
          <w:rFonts w:eastAsia="標楷體"/>
          <w:sz w:val="26"/>
        </w:rPr>
        <w:t xml:space="preserve">4. </w:t>
      </w:r>
      <w:r w:rsidRPr="00D15001">
        <w:rPr>
          <w:rFonts w:eastAsia="標楷體" w:hint="eastAsia"/>
          <w:sz w:val="26"/>
        </w:rPr>
        <w:t>自動化的品管檢測系統；</w:t>
      </w:r>
      <w:r w:rsidRPr="00D15001">
        <w:rPr>
          <w:rFonts w:eastAsia="標楷體"/>
          <w:sz w:val="26"/>
        </w:rPr>
        <w:t xml:space="preserve">5. </w:t>
      </w:r>
      <w:r w:rsidRPr="00D15001">
        <w:rPr>
          <w:rFonts w:eastAsia="標楷體" w:hint="eastAsia"/>
          <w:sz w:val="26"/>
        </w:rPr>
        <w:t>回饋控制與電腦製程式控制；</w:t>
      </w:r>
      <w:r w:rsidRPr="00D15001">
        <w:rPr>
          <w:rFonts w:eastAsia="標楷體"/>
          <w:sz w:val="26"/>
        </w:rPr>
        <w:t xml:space="preserve">6. </w:t>
      </w:r>
      <w:r w:rsidRPr="00D15001">
        <w:rPr>
          <w:rFonts w:eastAsia="標楷體" w:hint="eastAsia"/>
          <w:sz w:val="26"/>
        </w:rPr>
        <w:t>用於規劃、收集數據及決策，以支援製造活動的電腦系統。</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換而言之，產業自動化是運用控制理論、儀器儀表、電腦和其他資訊技術，以達到生產過程的檢測、控制、優化、調度、管理與決策。傳統的工業自動化即機電一體化系統，隨著控制、電腦、通訊、網路技術的發展。目前的產業自動化系統已包括工廠現場設備，以及控制與管理等各個層次，即以資訊科技及網路來有效整合工廠的製造執行系統和設備工程系統，以及企業間供應鏈和工程鏈，以達到工廠生產與量測機臺、自動搬運系統、廠區監控，及整體產業間資訊的整合，促成效能與產品質量的同步提升。</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根據上述對自動化的定義，將自動化程度分為傳統自動化與智慧自動化，前者屬於機械自動化，使用機器取代人力，以流水性、標準化大量生產；後者則屬於資訊自動化，以物聯網、軟體管理和雲端連結等技術整合應用，讓製程更具彈性，適應少量多樣生產模式。以下將先瞭解全球先進國家自動化發展趨勢，在此背景下觀察中國大陸製造業情勢變化，並進一步探討中國大陸自動化發展現況。</w:t>
      </w:r>
    </w:p>
    <w:p w:rsidR="004163FA" w:rsidRPr="00DA5B83" w:rsidRDefault="004163FA" w:rsidP="00DA5B83">
      <w:pPr>
        <w:pStyle w:val="3"/>
        <w:spacing w:before="72" w:after="72"/>
        <w:rPr>
          <w:rFonts w:ascii="Times New Roman" w:hAnsi="Times New Roman"/>
        </w:rPr>
      </w:pPr>
      <w:r w:rsidRPr="00D15001">
        <w:rPr>
          <w:rFonts w:ascii="Times New Roman" w:hAnsi="Times New Roman" w:hint="eastAsia"/>
        </w:rPr>
        <w:t>壹、全球先進國家自動化發展現況</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近年來已開發國家有高齡化、少子化和勞動力缺乏現象，新興國家工</w:t>
      </w:r>
      <w:r w:rsidRPr="00D15001">
        <w:rPr>
          <w:rFonts w:eastAsia="標楷體" w:hint="eastAsia"/>
          <w:sz w:val="26"/>
        </w:rPr>
        <w:lastRenderedPageBreak/>
        <w:t>資上漲和勞工意識抬頭，加上綠色環保和節能減碳等趨勢影響，自動化和機器人產業受到各國家政策重視，被視為強化產業競爭力的解決之道。全球領先的美國、歐盟、日本和後進的韓國等都非常積極投入自動化和機器人產業發展，結合知識、精密機械、機器人和互連技術，是目前全球先進國家製造業發展方向。以下分別針對美國、歐盟（尤其是德國）、日本和韓國等國家的自動化和機器人產業政策，以及代表性企業走向進行說明，以瞭解目前全球發展趨勢。</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rPr>
        <w:t>一、美國</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美國在</w:t>
      </w:r>
      <w:r w:rsidRPr="00D15001">
        <w:rPr>
          <w:rFonts w:eastAsia="標楷體"/>
          <w:sz w:val="26"/>
        </w:rPr>
        <w:t>2011</w:t>
      </w:r>
      <w:r w:rsidRPr="00D15001">
        <w:rPr>
          <w:rFonts w:eastAsia="標楷體" w:hint="eastAsia"/>
          <w:sz w:val="26"/>
        </w:rPr>
        <w:t>年推動「先進製造夥伴計畫」（</w:t>
      </w:r>
      <w:r w:rsidRPr="00D15001">
        <w:rPr>
          <w:rFonts w:eastAsia="標楷體"/>
          <w:sz w:val="26"/>
        </w:rPr>
        <w:t>Advanced Manufacturing Partnership, AMP</w:t>
      </w:r>
      <w:r w:rsidRPr="00D15001">
        <w:rPr>
          <w:rFonts w:eastAsia="標楷體" w:hint="eastAsia"/>
          <w:sz w:val="26"/>
        </w:rPr>
        <w:t>），總統歐巴馬強調「製造業回流」和「再工業化」為政策一部分。其後美國國家科技委員會在</w:t>
      </w:r>
      <w:r w:rsidRPr="00D15001">
        <w:rPr>
          <w:rFonts w:eastAsia="標楷體"/>
          <w:sz w:val="26"/>
        </w:rPr>
        <w:t>2012</w:t>
      </w:r>
      <w:r w:rsidRPr="00D15001">
        <w:rPr>
          <w:rFonts w:eastAsia="標楷體" w:hint="eastAsia"/>
          <w:sz w:val="26"/>
        </w:rPr>
        <w:t>年</w:t>
      </w:r>
      <w:r w:rsidRPr="00D15001">
        <w:rPr>
          <w:rFonts w:eastAsia="標楷體"/>
          <w:sz w:val="26"/>
        </w:rPr>
        <w:t>2</w:t>
      </w:r>
      <w:r w:rsidRPr="00D15001">
        <w:rPr>
          <w:rFonts w:eastAsia="標楷體" w:hint="eastAsia"/>
          <w:sz w:val="26"/>
        </w:rPr>
        <w:t>月公</w:t>
      </w:r>
      <w:r>
        <w:rPr>
          <w:rFonts w:eastAsia="標楷體" w:hint="eastAsia"/>
          <w:sz w:val="26"/>
        </w:rPr>
        <w:t>布</w:t>
      </w:r>
      <w:r w:rsidRPr="00D15001">
        <w:rPr>
          <w:rFonts w:eastAsia="標楷體" w:hint="eastAsia"/>
          <w:sz w:val="26"/>
        </w:rPr>
        <w:t>先進製造國家策略計畫，以加速中小廠商投資、強化勞動力技能、建立公司夥伴合作關係、協調聯邦投資達最佳化和提高美國先進製造</w:t>
      </w:r>
      <w:r w:rsidRPr="00D15001">
        <w:rPr>
          <w:rFonts w:eastAsia="標楷體"/>
          <w:sz w:val="26"/>
        </w:rPr>
        <w:t>R&amp;D</w:t>
      </w:r>
      <w:r w:rsidRPr="00D15001">
        <w:rPr>
          <w:rFonts w:eastAsia="標楷體" w:hint="eastAsia"/>
          <w:sz w:val="26"/>
        </w:rPr>
        <w:t>投資等為五大戰略目標。</w:t>
      </w:r>
      <w:r w:rsidRPr="00D15001">
        <w:rPr>
          <w:rFonts w:eastAsia="標楷體"/>
          <w:sz w:val="26"/>
        </w:rPr>
        <w:t>2013</w:t>
      </w:r>
      <w:r w:rsidRPr="00D15001">
        <w:rPr>
          <w:rFonts w:eastAsia="標楷體" w:hint="eastAsia"/>
          <w:sz w:val="26"/>
        </w:rPr>
        <w:t>年</w:t>
      </w:r>
      <w:r w:rsidRPr="00D15001">
        <w:rPr>
          <w:rFonts w:eastAsia="標楷體"/>
          <w:sz w:val="26"/>
        </w:rPr>
        <w:t>3</w:t>
      </w:r>
      <w:r w:rsidRPr="00D15001">
        <w:rPr>
          <w:rFonts w:eastAsia="標楷體" w:hint="eastAsia"/>
          <w:sz w:val="26"/>
        </w:rPr>
        <w:t>月總統歐巴馬再宣</w:t>
      </w:r>
      <w:r>
        <w:rPr>
          <w:rFonts w:eastAsia="標楷體" w:hint="eastAsia"/>
          <w:sz w:val="26"/>
        </w:rPr>
        <w:t>布</w:t>
      </w:r>
      <w:r w:rsidRPr="00D15001">
        <w:rPr>
          <w:rFonts w:eastAsia="標楷體" w:hint="eastAsia"/>
          <w:sz w:val="26"/>
        </w:rPr>
        <w:t>將設立國家製造創新網絡（</w:t>
      </w:r>
      <w:r w:rsidRPr="00D15001">
        <w:rPr>
          <w:rFonts w:eastAsia="標楷體"/>
          <w:sz w:val="26"/>
        </w:rPr>
        <w:t>National Network of Manufacturing Innovation, NNMI</w:t>
      </w:r>
      <w:r w:rsidRPr="00D15001">
        <w:rPr>
          <w:rFonts w:eastAsia="標楷體" w:hint="eastAsia"/>
          <w:sz w:val="26"/>
        </w:rPr>
        <w:t>），預計將在</w:t>
      </w:r>
      <w:r w:rsidRPr="00D15001">
        <w:rPr>
          <w:rFonts w:eastAsia="標楷體"/>
          <w:sz w:val="26"/>
        </w:rPr>
        <w:t>10</w:t>
      </w:r>
      <w:r w:rsidRPr="00D15001">
        <w:rPr>
          <w:rFonts w:eastAsia="標楷體" w:hint="eastAsia"/>
          <w:sz w:val="26"/>
        </w:rPr>
        <w:t>年內成立</w:t>
      </w:r>
      <w:r w:rsidRPr="00D15001">
        <w:rPr>
          <w:rFonts w:eastAsia="標楷體"/>
          <w:sz w:val="26"/>
        </w:rPr>
        <w:t>15</w:t>
      </w:r>
      <w:r w:rsidRPr="00D15001">
        <w:rPr>
          <w:rFonts w:eastAsia="標楷體" w:hint="eastAsia"/>
          <w:sz w:val="26"/>
        </w:rPr>
        <w:t>個製造創新研究院，做為區域創新與人才培育中心，以縮短基礎研究和業界技術開發的差距。該政策包含發展國家安全關鍵產品之製造能力、開發下世代機器人及創新節能製造技術，以此確保美國在先進製程的主導地位，並增加其就業機會。從虛擬製造技術、智慧機械和改善能源效能打造智慧自動化和智慧工廠，被視為製造業回流和再工業化的發展重點。</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在代表性企業方面，美國麻省理工學院電腦與人工智慧研究所教授</w:t>
      </w:r>
      <w:r w:rsidRPr="00D15001">
        <w:rPr>
          <w:rFonts w:eastAsia="標楷體"/>
          <w:sz w:val="26"/>
        </w:rPr>
        <w:t xml:space="preserve"> Rodney Brooks</w:t>
      </w:r>
      <w:r w:rsidRPr="00D15001">
        <w:rPr>
          <w:rFonts w:eastAsia="標楷體" w:hint="eastAsia"/>
          <w:sz w:val="26"/>
        </w:rPr>
        <w:t>，除了創辦</w:t>
      </w:r>
      <w:r w:rsidRPr="00D15001">
        <w:rPr>
          <w:rFonts w:eastAsia="標楷體"/>
          <w:sz w:val="26"/>
        </w:rPr>
        <w:t xml:space="preserve"> iRobot </w:t>
      </w:r>
      <w:r w:rsidRPr="00D15001">
        <w:rPr>
          <w:rFonts w:eastAsia="標楷體" w:hint="eastAsia"/>
          <w:sz w:val="26"/>
        </w:rPr>
        <w:t>公司生產銷售清掃機器人和軍用機器人外，也創立的工業機器人企業</w:t>
      </w:r>
      <w:r w:rsidRPr="00D15001">
        <w:rPr>
          <w:rFonts w:eastAsia="標楷體"/>
          <w:sz w:val="26"/>
        </w:rPr>
        <w:t xml:space="preserve"> Rethink Robotics</w:t>
      </w:r>
      <w:r w:rsidRPr="00D15001">
        <w:rPr>
          <w:rFonts w:eastAsia="標楷體" w:hint="eastAsia"/>
          <w:sz w:val="26"/>
        </w:rPr>
        <w:t>。其推出</w:t>
      </w:r>
      <w:r w:rsidRPr="00D15001">
        <w:rPr>
          <w:rFonts w:eastAsia="標楷體"/>
          <w:sz w:val="26"/>
        </w:rPr>
        <w:t>Baxter</w:t>
      </w:r>
      <w:r w:rsidRPr="00D15001">
        <w:rPr>
          <w:rFonts w:eastAsia="標楷體" w:hint="eastAsia"/>
          <w:sz w:val="26"/>
        </w:rPr>
        <w:t>是第一批具有兩隻機械手臂的工業機器人，透過直覺式程式界面設定就可與人類互相溝通的機器人，設計理念為「以人為中心、可與人共同合作」，即所謂</w:t>
      </w:r>
      <w:r w:rsidRPr="00D15001">
        <w:rPr>
          <w:rFonts w:eastAsia="標楷體" w:hint="eastAsia"/>
          <w:sz w:val="26"/>
        </w:rPr>
        <w:lastRenderedPageBreak/>
        <w:t>人機協同的概念。並在售價上為小工廠也能負擔的廉價機器人。這凸顯經濟實惠、容易設定和使用的機器人，以及人機共存為未來自動化的發展趨勢。</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rPr>
        <w:t>二、歐盟</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歐盟在</w:t>
      </w:r>
      <w:r w:rsidRPr="00D15001">
        <w:rPr>
          <w:rFonts w:eastAsia="標楷體"/>
          <w:sz w:val="26"/>
        </w:rPr>
        <w:t>2009</w:t>
      </w:r>
      <w:r w:rsidRPr="00D15001">
        <w:rPr>
          <w:rFonts w:eastAsia="標楷體" w:hint="eastAsia"/>
          <w:sz w:val="26"/>
        </w:rPr>
        <w:t>年提出「機器人願景</w:t>
      </w:r>
      <w:r w:rsidRPr="00D15001">
        <w:rPr>
          <w:rFonts w:eastAsia="標楷體"/>
          <w:sz w:val="26"/>
        </w:rPr>
        <w:t xml:space="preserve"> 2020</w:t>
      </w:r>
      <w:r w:rsidRPr="00D15001">
        <w:rPr>
          <w:rFonts w:eastAsia="標楷體" w:hint="eastAsia"/>
          <w:sz w:val="26"/>
        </w:rPr>
        <w:t>」（</w:t>
      </w:r>
      <w:r w:rsidRPr="00D15001">
        <w:rPr>
          <w:rFonts w:eastAsia="標楷體"/>
          <w:sz w:val="26"/>
        </w:rPr>
        <w:t>Robotics Vision to 2020</w:t>
      </w:r>
      <w:r w:rsidRPr="00D15001">
        <w:rPr>
          <w:rFonts w:eastAsia="標楷體" w:hint="eastAsia"/>
          <w:sz w:val="26"/>
        </w:rPr>
        <w:t>），揭示工業機器人發展的重點包括：整合式製程控制機器人、快速適應製造單元、協調移動式操作手臂、精微製造自動機械、人型組裝自動機械、後製造（</w:t>
      </w:r>
      <w:r w:rsidRPr="00D15001">
        <w:rPr>
          <w:rFonts w:eastAsia="標楷體"/>
          <w:sz w:val="26"/>
        </w:rPr>
        <w:t>Postproduction</w:t>
      </w:r>
      <w:r w:rsidRPr="00D15001">
        <w:rPr>
          <w:rFonts w:eastAsia="標楷體" w:hint="eastAsia"/>
          <w:sz w:val="26"/>
        </w:rPr>
        <w:t>）自動化，即永續環保、循環再生利用之製程自動化等。後續歐盟又再</w:t>
      </w:r>
      <w:r w:rsidRPr="00D15001">
        <w:rPr>
          <w:rFonts w:eastAsia="標楷體"/>
          <w:sz w:val="26"/>
        </w:rPr>
        <w:t>2014</w:t>
      </w:r>
      <w:r w:rsidRPr="00D15001">
        <w:rPr>
          <w:rFonts w:eastAsia="標楷體" w:hint="eastAsia"/>
          <w:sz w:val="26"/>
        </w:rPr>
        <w:t>年</w:t>
      </w:r>
      <w:r w:rsidRPr="00D15001">
        <w:rPr>
          <w:rFonts w:eastAsia="標楷體"/>
          <w:sz w:val="26"/>
        </w:rPr>
        <w:t>6</w:t>
      </w:r>
      <w:r w:rsidRPr="00D15001">
        <w:rPr>
          <w:rFonts w:eastAsia="標楷體" w:hint="eastAsia"/>
          <w:sz w:val="26"/>
        </w:rPr>
        <w:t>月宣</w:t>
      </w:r>
      <w:r>
        <w:rPr>
          <w:rFonts w:eastAsia="標楷體" w:hint="eastAsia"/>
          <w:sz w:val="26"/>
        </w:rPr>
        <w:t>布</w:t>
      </w:r>
      <w:r w:rsidRPr="00D15001">
        <w:rPr>
          <w:rFonts w:eastAsia="標楷體" w:hint="eastAsia"/>
          <w:sz w:val="26"/>
        </w:rPr>
        <w:t>與</w:t>
      </w:r>
      <w:r w:rsidRPr="00D15001">
        <w:rPr>
          <w:rFonts w:eastAsia="標楷體"/>
          <w:sz w:val="26"/>
        </w:rPr>
        <w:t>euRobotics</w:t>
      </w:r>
      <w:r w:rsidRPr="00D15001">
        <w:rPr>
          <w:rFonts w:eastAsia="標楷體" w:hint="eastAsia"/>
          <w:sz w:val="26"/>
        </w:rPr>
        <w:t>（歐洲機器人協會）推出全球最大的機器人科技民間研發創新計劃，命名為</w:t>
      </w:r>
      <w:r w:rsidRPr="00D15001">
        <w:rPr>
          <w:rFonts w:eastAsia="標楷體"/>
          <w:sz w:val="26"/>
        </w:rPr>
        <w:t>SPARC</w:t>
      </w:r>
      <w:r w:rsidRPr="00D15001">
        <w:rPr>
          <w:rFonts w:eastAsia="標楷體" w:hint="eastAsia"/>
          <w:sz w:val="26"/>
        </w:rPr>
        <w:t>計畫，由歐盟投資</w:t>
      </w:r>
      <w:r w:rsidRPr="00D15001">
        <w:rPr>
          <w:rFonts w:eastAsia="標楷體"/>
          <w:sz w:val="26"/>
        </w:rPr>
        <w:t>7</w:t>
      </w:r>
      <w:r w:rsidRPr="00D15001">
        <w:rPr>
          <w:rFonts w:eastAsia="標楷體" w:hint="eastAsia"/>
          <w:sz w:val="26"/>
        </w:rPr>
        <w:t>億歐元，</w:t>
      </w:r>
      <w:r w:rsidRPr="00D15001">
        <w:rPr>
          <w:rFonts w:eastAsia="標楷體"/>
          <w:sz w:val="26"/>
        </w:rPr>
        <w:t>euRobotics</w:t>
      </w:r>
      <w:r w:rsidRPr="00D15001">
        <w:rPr>
          <w:rFonts w:eastAsia="標楷體" w:hint="eastAsia"/>
          <w:sz w:val="26"/>
        </w:rPr>
        <w:t>投資</w:t>
      </w:r>
      <w:r w:rsidRPr="00D15001">
        <w:rPr>
          <w:rFonts w:eastAsia="標楷體"/>
          <w:sz w:val="26"/>
        </w:rPr>
        <w:t>21</w:t>
      </w:r>
      <w:r w:rsidRPr="00D15001">
        <w:rPr>
          <w:rFonts w:eastAsia="標楷體" w:hint="eastAsia"/>
          <w:sz w:val="26"/>
        </w:rPr>
        <w:t>歐元，總投資額達</w:t>
      </w:r>
      <w:r w:rsidRPr="00D15001">
        <w:rPr>
          <w:rFonts w:eastAsia="標楷體"/>
          <w:sz w:val="26"/>
        </w:rPr>
        <w:t>28</w:t>
      </w:r>
      <w:r w:rsidRPr="00D15001">
        <w:rPr>
          <w:rFonts w:eastAsia="標楷體" w:hint="eastAsia"/>
          <w:sz w:val="26"/>
        </w:rPr>
        <w:t>億歐元。製造業為其中一項主要研究應用領域，未來發展技術包含：針對動態環境下機器設備的精確室內定位系統、應用在人機互動上的感知系統、提高系統模式模擬現實狀況的能力、反應式的規劃與控制系統，確保機器人在生產線上進行任務。目的在於達到多樣化和彈性化生產，並透過機器人技術將製造業根留歐洲。</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德國在</w:t>
      </w:r>
      <w:r w:rsidRPr="00D15001">
        <w:rPr>
          <w:rFonts w:eastAsia="標楷體"/>
          <w:sz w:val="26"/>
        </w:rPr>
        <w:t>2011</w:t>
      </w:r>
      <w:r w:rsidRPr="00D15001">
        <w:rPr>
          <w:rFonts w:eastAsia="標楷體" w:hint="eastAsia"/>
          <w:sz w:val="26"/>
        </w:rPr>
        <w:t>年漢諾威工業博覽會首次提出「工業</w:t>
      </w:r>
      <w:r w:rsidRPr="00D15001">
        <w:rPr>
          <w:rFonts w:eastAsia="標楷體"/>
          <w:sz w:val="26"/>
        </w:rPr>
        <w:t>4.0</w:t>
      </w:r>
      <w:r w:rsidRPr="00D15001">
        <w:rPr>
          <w:rFonts w:eastAsia="標楷體" w:hint="eastAsia"/>
          <w:sz w:val="26"/>
        </w:rPr>
        <w:t>」一詞，次（</w:t>
      </w:r>
      <w:r w:rsidRPr="00D15001">
        <w:rPr>
          <w:rFonts w:eastAsia="標楷體"/>
          <w:sz w:val="26"/>
        </w:rPr>
        <w:t>2012</w:t>
      </w:r>
      <w:r w:rsidRPr="00D15001">
        <w:rPr>
          <w:rFonts w:eastAsia="標楷體" w:hint="eastAsia"/>
          <w:sz w:val="26"/>
        </w:rPr>
        <w:t>）年</w:t>
      </w:r>
      <w:r w:rsidRPr="00D15001">
        <w:rPr>
          <w:rFonts w:eastAsia="標楷體"/>
          <w:sz w:val="26"/>
        </w:rPr>
        <w:t>3</w:t>
      </w:r>
      <w:r w:rsidRPr="00D15001">
        <w:rPr>
          <w:rFonts w:eastAsia="標楷體" w:hint="eastAsia"/>
          <w:sz w:val="26"/>
        </w:rPr>
        <w:t>月推出「工業</w:t>
      </w:r>
      <w:r w:rsidRPr="00D15001">
        <w:rPr>
          <w:rFonts w:eastAsia="標楷體"/>
          <w:sz w:val="26"/>
        </w:rPr>
        <w:t>4.0</w:t>
      </w:r>
      <w:r w:rsidRPr="00D15001">
        <w:rPr>
          <w:rFonts w:eastAsia="標楷體" w:hint="eastAsia"/>
          <w:sz w:val="26"/>
        </w:rPr>
        <w:t>計畫」（</w:t>
      </w:r>
      <w:r w:rsidRPr="00D15001">
        <w:rPr>
          <w:rFonts w:eastAsia="標楷體"/>
          <w:sz w:val="26"/>
        </w:rPr>
        <w:t>Industry 4.0</w:t>
      </w:r>
      <w:r w:rsidRPr="00D15001">
        <w:rPr>
          <w:rFonts w:eastAsia="標楷體" w:hint="eastAsia"/>
          <w:sz w:val="26"/>
        </w:rPr>
        <w:t>），為國家級發展戰略「</w:t>
      </w:r>
      <w:r w:rsidRPr="00D15001">
        <w:rPr>
          <w:rFonts w:eastAsia="標楷體"/>
          <w:sz w:val="26"/>
        </w:rPr>
        <w:t>2020</w:t>
      </w:r>
      <w:r w:rsidRPr="00D15001">
        <w:rPr>
          <w:rFonts w:eastAsia="標楷體" w:hint="eastAsia"/>
          <w:sz w:val="26"/>
        </w:rPr>
        <w:t>高科技戰略」（教育部）和「聚焦</w:t>
      </w:r>
      <w:r w:rsidRPr="00D15001">
        <w:rPr>
          <w:rFonts w:ascii="標楷體" w:eastAsia="標楷體" w:hAnsi="標楷體" w:hint="eastAsia"/>
          <w:sz w:val="26"/>
        </w:rPr>
        <w:t>：工業之國德國</w:t>
      </w:r>
      <w:r w:rsidRPr="00D15001">
        <w:rPr>
          <w:rFonts w:eastAsia="標楷體" w:hint="eastAsia"/>
          <w:sz w:val="26"/>
        </w:rPr>
        <w:t>」（科技部）架構下的跨部會重點計畫。預計在四年內投入</w:t>
      </w:r>
      <w:r w:rsidRPr="00D15001">
        <w:rPr>
          <w:rFonts w:eastAsia="標楷體"/>
          <w:sz w:val="26"/>
        </w:rPr>
        <w:t>2</w:t>
      </w:r>
      <w:r w:rsidRPr="00D15001">
        <w:rPr>
          <w:rFonts w:eastAsia="標楷體" w:hint="eastAsia"/>
          <w:sz w:val="26"/>
        </w:rPr>
        <w:t>億歐元，透過產官學研合作，於</w:t>
      </w:r>
      <w:r w:rsidRPr="00D15001">
        <w:rPr>
          <w:rFonts w:eastAsia="標楷體"/>
          <w:sz w:val="26"/>
        </w:rPr>
        <w:t>2020</w:t>
      </w:r>
      <w:r w:rsidRPr="00D15001">
        <w:rPr>
          <w:rFonts w:eastAsia="標楷體" w:hint="eastAsia"/>
          <w:sz w:val="26"/>
        </w:rPr>
        <w:t>年建立「虛實合一製造系統」（</w:t>
      </w:r>
      <w:r w:rsidRPr="00D15001">
        <w:rPr>
          <w:rFonts w:eastAsia="標楷體"/>
          <w:sz w:val="26"/>
        </w:rPr>
        <w:t>Cyber-Physical Systems, CPS</w:t>
      </w:r>
      <w:r w:rsidRPr="00D15001">
        <w:rPr>
          <w:rFonts w:eastAsia="標楷體" w:hint="eastAsia"/>
          <w:sz w:val="26"/>
        </w:rPr>
        <w:t>），以確保持續領先全球製造和自動化技術。該項技術指智慧機械、倉儲系統和生產設備間能互相交換訊息，既能獨立運作也能相互控制。這是整合各類感測系統（</w:t>
      </w:r>
      <w:r w:rsidRPr="00D15001">
        <w:rPr>
          <w:rFonts w:eastAsia="標楷體"/>
          <w:sz w:val="26"/>
        </w:rPr>
        <w:t>sensors</w:t>
      </w:r>
      <w:r w:rsidRPr="00D15001">
        <w:rPr>
          <w:rFonts w:eastAsia="標楷體" w:hint="eastAsia"/>
          <w:sz w:val="26"/>
        </w:rPr>
        <w:t>）、感測網路、元件間的通訊、人工智慧判斷與控制系統（</w:t>
      </w:r>
      <w:r w:rsidRPr="00D15001">
        <w:rPr>
          <w:rFonts w:eastAsia="標楷體"/>
          <w:sz w:val="26"/>
        </w:rPr>
        <w:t>actuators</w:t>
      </w:r>
      <w:r w:rsidRPr="00D15001">
        <w:rPr>
          <w:rFonts w:eastAsia="標楷體" w:hint="eastAsia"/>
          <w:sz w:val="26"/>
        </w:rPr>
        <w:t>）的一項複雜系統工程。目的在於</w:t>
      </w:r>
      <w:r>
        <w:rPr>
          <w:rFonts w:eastAsia="標楷體" w:hint="eastAsia"/>
          <w:sz w:val="26"/>
        </w:rPr>
        <w:t>提升</w:t>
      </w:r>
      <w:r w:rsidRPr="00D15001">
        <w:rPr>
          <w:rFonts w:eastAsia="標楷體" w:hint="eastAsia"/>
          <w:sz w:val="26"/>
        </w:rPr>
        <w:t>現有的自動化技術，使其可以因應目</w:t>
      </w:r>
      <w:r w:rsidRPr="00D15001">
        <w:rPr>
          <w:rFonts w:eastAsia="標楷體" w:hint="eastAsia"/>
          <w:sz w:val="26"/>
        </w:rPr>
        <w:lastRenderedPageBreak/>
        <w:t>前生產多樣化產品需求，同時能兼具產線效率，即所謂的「隨選生產」（</w:t>
      </w:r>
      <w:r w:rsidRPr="00D15001">
        <w:rPr>
          <w:rFonts w:eastAsia="標楷體"/>
          <w:sz w:val="26"/>
        </w:rPr>
        <w:t>Producti</w:t>
      </w:r>
      <w:r w:rsidRPr="00D15001">
        <w:rPr>
          <w:rFonts w:eastAsia="標楷體" w:hint="eastAsia"/>
          <w:sz w:val="26"/>
        </w:rPr>
        <w:t>o</w:t>
      </w:r>
      <w:r w:rsidRPr="00D15001">
        <w:rPr>
          <w:rFonts w:eastAsia="標楷體"/>
          <w:sz w:val="26"/>
        </w:rPr>
        <w:t>n on Demand</w:t>
      </w:r>
      <w:r w:rsidRPr="00D15001">
        <w:rPr>
          <w:rFonts w:eastAsia="標楷體" w:hint="eastAsia"/>
          <w:sz w:val="26"/>
        </w:rPr>
        <w:t>）。</w:t>
      </w:r>
    </w:p>
    <w:p w:rsidR="004163FA" w:rsidRPr="00C74F59" w:rsidRDefault="004163FA" w:rsidP="004163FA">
      <w:pPr>
        <w:spacing w:beforeLines="30" w:before="108" w:afterLines="30" w:after="108" w:line="520" w:lineRule="exact"/>
        <w:ind w:firstLineChars="200" w:firstLine="520"/>
        <w:jc w:val="both"/>
        <w:rPr>
          <w:rFonts w:eastAsia="標楷體"/>
          <w:sz w:val="26"/>
        </w:rPr>
      </w:pPr>
      <w:r w:rsidRPr="00C74F59">
        <w:rPr>
          <w:rFonts w:eastAsia="標楷體" w:hint="eastAsia"/>
          <w:sz w:val="26"/>
        </w:rPr>
        <w:t>在代表性企業方面，瑞士</w:t>
      </w:r>
      <w:r w:rsidRPr="00C74F59">
        <w:rPr>
          <w:rFonts w:eastAsia="標楷體"/>
          <w:sz w:val="26"/>
        </w:rPr>
        <w:t>ABB</w:t>
      </w:r>
      <w:r w:rsidRPr="00C74F59">
        <w:rPr>
          <w:rFonts w:eastAsia="標楷體" w:hint="eastAsia"/>
          <w:sz w:val="26"/>
        </w:rPr>
        <w:t>在</w:t>
      </w:r>
      <w:r w:rsidRPr="00C74F59">
        <w:rPr>
          <w:rFonts w:eastAsia="標楷體"/>
          <w:sz w:val="26"/>
        </w:rPr>
        <w:t>2014</w:t>
      </w:r>
      <w:r w:rsidRPr="00C74F59">
        <w:rPr>
          <w:rFonts w:eastAsia="標楷體" w:hint="eastAsia"/>
          <w:sz w:val="26"/>
        </w:rPr>
        <w:t>年戰略發表會上提出智慧工廠概念</w:t>
      </w:r>
      <w:r w:rsidR="00E4377E" w:rsidRPr="00C74F59">
        <w:rPr>
          <w:rFonts w:eastAsia="標楷體" w:hint="eastAsia"/>
          <w:sz w:val="26"/>
        </w:rPr>
        <w:t>（</w:t>
      </w:r>
      <w:r w:rsidRPr="00C74F59">
        <w:rPr>
          <w:rFonts w:eastAsia="標楷體"/>
          <w:sz w:val="26"/>
        </w:rPr>
        <w:t>Smart Factory</w:t>
      </w:r>
      <w:r w:rsidR="00E4377E" w:rsidRPr="00C74F59">
        <w:rPr>
          <w:rFonts w:eastAsia="標楷體" w:hint="eastAsia"/>
          <w:sz w:val="26"/>
        </w:rPr>
        <w:t>）</w:t>
      </w:r>
      <w:r w:rsidRPr="00C74F59">
        <w:rPr>
          <w:rFonts w:eastAsia="標楷體" w:hint="eastAsia"/>
          <w:sz w:val="26"/>
        </w:rPr>
        <w:t>概念，以物聯網連結各地工廠與機械設備，進行高效率生產。該重點不僅在機器人的精良，更重要的是在不同生產線、不同工廠、不同國度的這些機器人，與行銷據點間都能透過網路連結，達到即時瞭解生產進度、立即修改生產流程、或立即提供維修服務，減少單一環節出錯拖延後續程序的可能性。</w:t>
      </w:r>
    </w:p>
    <w:p w:rsidR="004163FA" w:rsidRPr="00C74F59" w:rsidRDefault="004163FA" w:rsidP="004163FA">
      <w:pPr>
        <w:keepNext/>
        <w:spacing w:beforeLines="20" w:before="72" w:afterLines="20" w:after="72"/>
        <w:jc w:val="both"/>
        <w:outlineLvl w:val="2"/>
        <w:rPr>
          <w:rFonts w:eastAsia="標楷體"/>
          <w:b/>
          <w:bCs/>
          <w:sz w:val="36"/>
          <w:szCs w:val="36"/>
        </w:rPr>
      </w:pPr>
      <w:r w:rsidRPr="00C74F59">
        <w:rPr>
          <w:rFonts w:eastAsia="標楷體" w:hint="eastAsia"/>
          <w:b/>
          <w:bCs/>
          <w:sz w:val="36"/>
          <w:szCs w:val="36"/>
        </w:rPr>
        <w:t>三、日本</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C74F59">
        <w:rPr>
          <w:rFonts w:eastAsia="標楷體" w:hint="eastAsia"/>
          <w:sz w:val="26"/>
        </w:rPr>
        <w:t>日本於</w:t>
      </w:r>
      <w:r w:rsidRPr="00C74F59">
        <w:rPr>
          <w:rFonts w:eastAsia="標楷體"/>
          <w:sz w:val="26"/>
        </w:rPr>
        <w:t>2011</w:t>
      </w:r>
      <w:r w:rsidRPr="00C74F59">
        <w:rPr>
          <w:rFonts w:eastAsia="標楷體" w:hint="eastAsia"/>
          <w:sz w:val="26"/>
        </w:rPr>
        <w:t>至</w:t>
      </w:r>
      <w:r w:rsidRPr="00C74F59">
        <w:rPr>
          <w:rFonts w:eastAsia="標楷體"/>
          <w:sz w:val="26"/>
        </w:rPr>
        <w:t>2020</w:t>
      </w:r>
      <w:r w:rsidRPr="00C74F59">
        <w:rPr>
          <w:rFonts w:eastAsia="標楷體" w:hint="eastAsia"/>
          <w:sz w:val="26"/>
        </w:rPr>
        <w:t>年投入</w:t>
      </w:r>
      <w:r w:rsidRPr="00C74F59">
        <w:rPr>
          <w:rFonts w:eastAsia="標楷體"/>
          <w:sz w:val="26"/>
        </w:rPr>
        <w:t>7.3</w:t>
      </w:r>
      <w:r w:rsidRPr="00C74F59">
        <w:rPr>
          <w:rFonts w:eastAsia="標楷體" w:hint="eastAsia"/>
          <w:sz w:val="26"/>
        </w:rPr>
        <w:t>兆日圓，規劃發展人機共存未來工廠。日本經產省「</w:t>
      </w:r>
      <w:r w:rsidRPr="00C74F59">
        <w:rPr>
          <w:rFonts w:eastAsia="標楷體"/>
          <w:sz w:val="26"/>
        </w:rPr>
        <w:t>21</w:t>
      </w:r>
      <w:r w:rsidRPr="00C74F59">
        <w:rPr>
          <w:rFonts w:eastAsia="標楷體" w:hint="eastAsia"/>
          <w:sz w:val="26"/>
        </w:rPr>
        <w:t>世紀機器人挑戰」計畫已邁入第三期，平均每年投入</w:t>
      </w:r>
      <w:r w:rsidRPr="00C74F59">
        <w:rPr>
          <w:rFonts w:eastAsia="標楷體"/>
          <w:sz w:val="26"/>
        </w:rPr>
        <w:t>90</w:t>
      </w:r>
      <w:r w:rsidRPr="00C74F59">
        <w:rPr>
          <w:rFonts w:eastAsia="標楷體" w:hint="eastAsia"/>
          <w:sz w:val="26"/>
        </w:rPr>
        <w:t>億日圓做為機器人研發費用。</w:t>
      </w:r>
      <w:r w:rsidRPr="00C74F59">
        <w:rPr>
          <w:rFonts w:eastAsia="標楷體"/>
          <w:sz w:val="26"/>
        </w:rPr>
        <w:t>2014</w:t>
      </w:r>
      <w:r w:rsidRPr="00C74F59">
        <w:rPr>
          <w:rFonts w:eastAsia="標楷體" w:hint="eastAsia"/>
          <w:sz w:val="26"/>
        </w:rPr>
        <w:t>年</w:t>
      </w:r>
      <w:r w:rsidRPr="00C74F59">
        <w:rPr>
          <w:rFonts w:eastAsia="標楷體"/>
          <w:sz w:val="26"/>
        </w:rPr>
        <w:t>8</w:t>
      </w:r>
      <w:r w:rsidRPr="00C74F59">
        <w:rPr>
          <w:rFonts w:eastAsia="標楷體" w:hint="eastAsia"/>
          <w:sz w:val="26"/>
        </w:rPr>
        <w:t>月日本經濟產業省所屬的獨立行政法人機構「新能源產業技術總合研發機構」</w:t>
      </w:r>
      <w:r w:rsidR="00E4377E" w:rsidRPr="00C74F59">
        <w:rPr>
          <w:rFonts w:eastAsia="標楷體" w:hint="eastAsia"/>
          <w:sz w:val="26"/>
        </w:rPr>
        <w:t>（</w:t>
      </w:r>
      <w:r w:rsidR="00E4377E" w:rsidRPr="00C74F59">
        <w:rPr>
          <w:rFonts w:eastAsia="標楷體"/>
          <w:sz w:val="26"/>
        </w:rPr>
        <w:t>The New Energy and Industrial Technology Development Organization</w:t>
      </w:r>
      <w:r w:rsidR="00E4377E" w:rsidRPr="00C74F59">
        <w:rPr>
          <w:rFonts w:eastAsia="標楷體" w:hint="eastAsia"/>
          <w:sz w:val="26"/>
        </w:rPr>
        <w:t xml:space="preserve">, </w:t>
      </w:r>
      <w:r w:rsidRPr="00C74F59">
        <w:rPr>
          <w:rFonts w:eastAsia="標楷體"/>
          <w:sz w:val="26"/>
        </w:rPr>
        <w:t>NEDO</w:t>
      </w:r>
      <w:r w:rsidR="00E4377E" w:rsidRPr="00C74F59">
        <w:rPr>
          <w:rFonts w:eastAsia="標楷體" w:hint="eastAsia"/>
          <w:sz w:val="26"/>
        </w:rPr>
        <w:t>）</w:t>
      </w:r>
      <w:r w:rsidRPr="00C74F59">
        <w:rPr>
          <w:rFonts w:eastAsia="標楷體" w:hint="eastAsia"/>
          <w:sz w:val="26"/>
        </w:rPr>
        <w:t>首度發表「機器人白皮書</w:t>
      </w:r>
      <w:r w:rsidRPr="00C74F59">
        <w:rPr>
          <w:rFonts w:eastAsia="標楷體"/>
          <w:sz w:val="26"/>
        </w:rPr>
        <w:t>2014</w:t>
      </w:r>
      <w:r w:rsidRPr="00C74F59">
        <w:rPr>
          <w:rFonts w:eastAsia="標楷體" w:hint="eastAsia"/>
          <w:sz w:val="26"/>
        </w:rPr>
        <w:t>」，明確指出未來日本機器人產業發展動向。表示目前日本機器人相</w:t>
      </w:r>
      <w:r w:rsidRPr="00D15001">
        <w:rPr>
          <w:rFonts w:eastAsia="標楷體" w:hint="eastAsia"/>
          <w:sz w:val="26"/>
        </w:rPr>
        <w:t>關產品主要是以傳統工業機器人為主，市場規模達</w:t>
      </w:r>
      <w:r w:rsidRPr="00D15001">
        <w:rPr>
          <w:rFonts w:eastAsia="標楷體"/>
          <w:sz w:val="26"/>
        </w:rPr>
        <w:t>1.6</w:t>
      </w:r>
      <w:r w:rsidRPr="00D15001">
        <w:rPr>
          <w:rFonts w:eastAsia="標楷體" w:hint="eastAsia"/>
          <w:sz w:val="26"/>
        </w:rPr>
        <w:t>兆日圓（約</w:t>
      </w:r>
      <w:r w:rsidRPr="00D15001">
        <w:rPr>
          <w:rFonts w:eastAsia="標楷體"/>
          <w:sz w:val="26"/>
        </w:rPr>
        <w:t>157</w:t>
      </w:r>
      <w:r w:rsidRPr="00D15001">
        <w:rPr>
          <w:rFonts w:eastAsia="標楷體" w:hint="eastAsia"/>
          <w:sz w:val="26"/>
        </w:rPr>
        <w:t>億美元）。預估到</w:t>
      </w:r>
      <w:r w:rsidRPr="00D15001">
        <w:rPr>
          <w:rFonts w:eastAsia="標楷體"/>
          <w:sz w:val="26"/>
        </w:rPr>
        <w:t>2035</w:t>
      </w:r>
      <w:r w:rsidRPr="00D15001">
        <w:rPr>
          <w:rFonts w:eastAsia="標楷體" w:hint="eastAsia"/>
          <w:sz w:val="26"/>
        </w:rPr>
        <w:t>年將擴大到</w:t>
      </w:r>
      <w:r w:rsidRPr="00D15001">
        <w:rPr>
          <w:rFonts w:eastAsia="標楷體"/>
          <w:sz w:val="26"/>
        </w:rPr>
        <w:t>10</w:t>
      </w:r>
      <w:r w:rsidRPr="00D15001">
        <w:rPr>
          <w:rFonts w:eastAsia="標楷體" w:hint="eastAsia"/>
          <w:sz w:val="26"/>
        </w:rPr>
        <w:t>兆日圓，且預計約有</w:t>
      </w:r>
      <w:r w:rsidRPr="00D15001">
        <w:rPr>
          <w:rFonts w:eastAsia="標楷體"/>
          <w:sz w:val="26"/>
        </w:rPr>
        <w:t>50%</w:t>
      </w:r>
      <w:r w:rsidRPr="00D15001">
        <w:rPr>
          <w:rFonts w:eastAsia="標楷體" w:hint="eastAsia"/>
          <w:sz w:val="26"/>
        </w:rPr>
        <w:t>以上會應用於服務業。雖然目前日本工業機器人的全球市占率相當高，但隨著發展趨勢改變和先進國家、中國大陸等緊追在後，未來是否能繼續保有優勢仍是未知數。因此指出日本機器人產業若要繼續保有國際競爭力，不只要在技術上精進，還須提供解決顧客問題的系統整合能力。</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在代表性企業方面，</w:t>
      </w:r>
      <w:r w:rsidRPr="00D15001">
        <w:rPr>
          <w:rFonts w:eastAsia="標楷體"/>
          <w:sz w:val="26"/>
        </w:rPr>
        <w:t>Fanuc</w:t>
      </w:r>
      <w:r w:rsidRPr="00D15001">
        <w:rPr>
          <w:rFonts w:eastAsia="標楷體" w:hint="eastAsia"/>
          <w:sz w:val="26"/>
        </w:rPr>
        <w:t>推行積木式無人化自動化系統，讓</w:t>
      </w:r>
      <w:r w:rsidRPr="00D15001">
        <w:rPr>
          <w:rFonts w:eastAsia="標楷體"/>
          <w:sz w:val="26"/>
        </w:rPr>
        <w:t>CNC</w:t>
      </w:r>
      <w:r w:rsidRPr="00D15001">
        <w:rPr>
          <w:rFonts w:eastAsia="標楷體" w:hint="eastAsia"/>
          <w:sz w:val="26"/>
        </w:rPr>
        <w:t>和機器人用同一套控制器，強調靈活調度和可重組搬移換線，以及人機作業協調和綠色製造。安川電機則推出雙臂人型機器人，在狹小的廠房內進行快速組裝、搬運、取放和包裝等工作。透過感測技術和人機共存的機器人</w:t>
      </w:r>
      <w:r w:rsidRPr="00D15001">
        <w:rPr>
          <w:rFonts w:eastAsia="標楷體" w:hint="eastAsia"/>
          <w:sz w:val="26"/>
        </w:rPr>
        <w:lastRenderedPageBreak/>
        <w:t>類型，未來進一步滲透到過去沒有採用機器人的產業和製程，發展適合不同產業使用者的多元化設計。</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rPr>
        <w:t>四、韓國</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韓國著重發展機器人產業，</w:t>
      </w:r>
      <w:r w:rsidRPr="00D15001">
        <w:rPr>
          <w:rFonts w:eastAsia="標楷體"/>
          <w:sz w:val="26"/>
        </w:rPr>
        <w:t>2012</w:t>
      </w:r>
      <w:r w:rsidRPr="00D15001">
        <w:rPr>
          <w:rFonts w:eastAsia="標楷體" w:hint="eastAsia"/>
          <w:sz w:val="26"/>
        </w:rPr>
        <w:t>年</w:t>
      </w:r>
      <w:r w:rsidRPr="00D15001">
        <w:rPr>
          <w:rFonts w:eastAsia="標楷體"/>
          <w:sz w:val="26"/>
        </w:rPr>
        <w:t>10</w:t>
      </w:r>
      <w:r w:rsidRPr="00D15001">
        <w:rPr>
          <w:rFonts w:eastAsia="標楷體" w:hint="eastAsia"/>
          <w:sz w:val="26"/>
        </w:rPr>
        <w:t>月推出「機器人未來戰略展望</w:t>
      </w:r>
      <w:r w:rsidRPr="00D15001">
        <w:rPr>
          <w:rFonts w:eastAsia="標楷體"/>
          <w:sz w:val="26"/>
        </w:rPr>
        <w:t>2022</w:t>
      </w:r>
      <w:r w:rsidRPr="00D15001">
        <w:rPr>
          <w:rFonts w:eastAsia="標楷體" w:hint="eastAsia"/>
          <w:sz w:val="26"/>
        </w:rPr>
        <w:t>」，將政策重點放在擴大機器人產業規模，並支持韓國機器人企業進軍海外市場等方面。</w:t>
      </w:r>
      <w:r w:rsidRPr="00D15001">
        <w:rPr>
          <w:rFonts w:eastAsia="標楷體"/>
          <w:sz w:val="26"/>
        </w:rPr>
        <w:t>2014-2018</w:t>
      </w:r>
      <w:r w:rsidRPr="00D15001">
        <w:rPr>
          <w:rFonts w:eastAsia="標楷體" w:hint="eastAsia"/>
          <w:sz w:val="26"/>
        </w:rPr>
        <w:t>年投入</w:t>
      </w:r>
      <w:r w:rsidRPr="00D15001">
        <w:rPr>
          <w:rFonts w:eastAsia="標楷體"/>
          <w:sz w:val="26"/>
        </w:rPr>
        <w:t>27.3</w:t>
      </w:r>
      <w:r w:rsidRPr="00D15001">
        <w:rPr>
          <w:rFonts w:eastAsia="標楷體" w:hint="eastAsia"/>
          <w:sz w:val="26"/>
        </w:rPr>
        <w:t>億美元發展機器人產業，包含救災機器人、照護機器人和先進製造機器人。韓國藉由基礎科技的技術優勢，像是螢幕技術、半導體、感測器和自動化生產等，積極發展機器人商業化，以後進者努力追趕歐美日國家把持機器人市場之態勢。目前韓國為全球機器人市場市占率排名第四，產業機器人密度全球最高，尤其是汽車業和電子業。近年來不斷大幅增加機器人裝置量，對支撐國家發展機器人產業有相當大助益。</w:t>
      </w:r>
    </w:p>
    <w:p w:rsidR="004163FA" w:rsidRDefault="004163FA" w:rsidP="004163FA">
      <w:pPr>
        <w:spacing w:beforeLines="30" w:before="108" w:afterLines="30" w:after="108" w:line="520" w:lineRule="exact"/>
        <w:ind w:firstLineChars="200" w:firstLine="520"/>
        <w:jc w:val="both"/>
        <w:rPr>
          <w:rFonts w:eastAsia="標楷體"/>
          <w:sz w:val="26"/>
        </w:rPr>
      </w:pP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從上述美國「先進製造」、德國「工業</w:t>
      </w:r>
      <w:r w:rsidRPr="00D15001">
        <w:rPr>
          <w:rFonts w:eastAsia="標楷體"/>
          <w:sz w:val="26"/>
        </w:rPr>
        <w:t>4.0</w:t>
      </w:r>
      <w:r w:rsidRPr="00D15001">
        <w:rPr>
          <w:rFonts w:eastAsia="標楷體" w:hint="eastAsia"/>
          <w:sz w:val="26"/>
        </w:rPr>
        <w:t>」和歐美日代表性企業發展動態，主要在現有的自動化技術往上延伸到智慧工廠的概念，在自動化方面，強調虛擬製造技術、人機協同作業、彈性和可重組生產設備和系統、綠色製造等趨勢；在工業機器人方面，強調經濟實惠、操作容易、精巧和彈性。而智慧工廠為自動化的擴大版，不僅止專注於製造系統自動化，還有廠務管理系統自動化，也就是產線彈性和管理效益兩者兼顧。由於歐美日國家無論是在自動化或是工業機器人領域都發展相當的早，在技術上擁有一定的領先優勢，在發展新一代的智慧自動化也有一定基礎，相較之下韓國為後進國家，比較積極投入機器人設備研發，對於新型的虛擬製造技術著墨不多，值得做為探討兩岸製造業自動化趨勢之參考。</w:t>
      </w:r>
    </w:p>
    <w:p w:rsidR="004163FA" w:rsidRPr="00C74F59"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除此之外，全球知名企業也紛紛跨足自動化和機器人產業，像是</w:t>
      </w:r>
      <w:r w:rsidRPr="00D15001">
        <w:rPr>
          <w:rFonts w:eastAsia="標楷體"/>
          <w:sz w:val="26"/>
        </w:rPr>
        <w:t>2013</w:t>
      </w:r>
      <w:r w:rsidRPr="00D15001">
        <w:rPr>
          <w:rFonts w:eastAsia="標楷體" w:hint="eastAsia"/>
          <w:sz w:val="26"/>
        </w:rPr>
        <w:t>年底以來，</w:t>
      </w:r>
      <w:r w:rsidRPr="00D15001">
        <w:rPr>
          <w:rFonts w:eastAsia="標楷體"/>
          <w:sz w:val="26"/>
        </w:rPr>
        <w:t>Google</w:t>
      </w:r>
      <w:r w:rsidRPr="00D15001">
        <w:rPr>
          <w:rFonts w:eastAsia="標楷體" w:hint="eastAsia"/>
          <w:sz w:val="26"/>
        </w:rPr>
        <w:t>和亞馬遜相繼公</w:t>
      </w:r>
      <w:r>
        <w:rPr>
          <w:rFonts w:eastAsia="標楷體" w:hint="eastAsia"/>
          <w:sz w:val="26"/>
        </w:rPr>
        <w:t>布</w:t>
      </w:r>
      <w:r w:rsidRPr="00D15001">
        <w:rPr>
          <w:rFonts w:eastAsia="標楷體" w:hint="eastAsia"/>
          <w:sz w:val="26"/>
        </w:rPr>
        <w:t>對機器人的投資。</w:t>
      </w:r>
      <w:r w:rsidRPr="00D15001">
        <w:rPr>
          <w:rFonts w:eastAsia="標楷體"/>
          <w:sz w:val="26"/>
        </w:rPr>
        <w:t>Google</w:t>
      </w:r>
      <w:r w:rsidRPr="00D15001">
        <w:rPr>
          <w:rFonts w:eastAsia="標楷體" w:hint="eastAsia"/>
          <w:sz w:val="26"/>
        </w:rPr>
        <w:t>收購了八家</w:t>
      </w:r>
      <w:r w:rsidRPr="00D15001">
        <w:rPr>
          <w:rFonts w:eastAsia="標楷體" w:hint="eastAsia"/>
          <w:sz w:val="26"/>
        </w:rPr>
        <w:lastRenderedPageBreak/>
        <w:t>機器人工司，積極投入機器人產業發展，這八家機器人公司涵蓋的領域各有所不同，包含電腦視覺、仿真人設計和高精密自動化，但共通點皆為軟體密集型的機器人公司，普遍猜測</w:t>
      </w:r>
      <w:r w:rsidRPr="00D15001">
        <w:rPr>
          <w:rFonts w:eastAsia="標楷體"/>
          <w:sz w:val="26"/>
        </w:rPr>
        <w:t>Google</w:t>
      </w:r>
      <w:r w:rsidRPr="00D15001">
        <w:rPr>
          <w:rFonts w:eastAsia="標楷體" w:hint="eastAsia"/>
          <w:sz w:val="26"/>
        </w:rPr>
        <w:t>可能將機器人用於服務工廠車間乃至向消費者配貨送貨的公司上。</w:t>
      </w:r>
      <w:r w:rsidRPr="00D15001">
        <w:rPr>
          <w:rFonts w:eastAsia="標楷體"/>
          <w:sz w:val="26"/>
        </w:rPr>
        <w:t>2014</w:t>
      </w:r>
      <w:r w:rsidRPr="00D15001">
        <w:rPr>
          <w:rFonts w:eastAsia="標楷體" w:hint="eastAsia"/>
          <w:sz w:val="26"/>
        </w:rPr>
        <w:t>年</w:t>
      </w:r>
      <w:r w:rsidRPr="00D15001">
        <w:rPr>
          <w:rFonts w:eastAsia="標楷體"/>
          <w:sz w:val="26"/>
        </w:rPr>
        <w:t>2</w:t>
      </w:r>
      <w:r w:rsidRPr="00D15001">
        <w:rPr>
          <w:rFonts w:eastAsia="標楷體" w:hint="eastAsia"/>
          <w:sz w:val="26"/>
        </w:rPr>
        <w:t>月更傳出可能與鴻海聯手打造</w:t>
      </w:r>
      <w:r w:rsidRPr="00C74F59">
        <w:rPr>
          <w:rFonts w:eastAsia="標楷體" w:hint="eastAsia"/>
          <w:sz w:val="26"/>
        </w:rPr>
        <w:t>機器人，鎖定製造業組裝生產線的自動化。亞馬遜公司去年收購</w:t>
      </w:r>
      <w:r w:rsidRPr="00C74F59">
        <w:rPr>
          <w:rFonts w:eastAsia="標楷體"/>
          <w:sz w:val="26"/>
        </w:rPr>
        <w:t>Kiva SystemsInc.</w:t>
      </w:r>
      <w:r w:rsidRPr="00C74F59">
        <w:rPr>
          <w:rFonts w:eastAsia="標楷體" w:hint="eastAsia"/>
          <w:sz w:val="26"/>
        </w:rPr>
        <w:t>所產的機器人，也正在推行倉庫內的機器人作業，藉此能夠有效地降低訂單成本和提高送貨效率。全球最大半導體設計廠</w:t>
      </w:r>
      <w:r w:rsidRPr="00C74F59">
        <w:rPr>
          <w:rFonts w:eastAsia="標楷體"/>
          <w:sz w:val="26"/>
        </w:rPr>
        <w:t>Qualcomn</w:t>
      </w:r>
      <w:r w:rsidRPr="00C74F59">
        <w:rPr>
          <w:rFonts w:eastAsia="標楷體" w:hint="eastAsia"/>
          <w:sz w:val="26"/>
        </w:rPr>
        <w:t>也跨足機器人產業，</w:t>
      </w:r>
      <w:r w:rsidRPr="00C74F59">
        <w:rPr>
          <w:rFonts w:eastAsia="標楷體"/>
          <w:sz w:val="26"/>
        </w:rPr>
        <w:t>2014</w:t>
      </w:r>
      <w:r w:rsidRPr="00C74F59">
        <w:rPr>
          <w:rFonts w:eastAsia="標楷體" w:hint="eastAsia"/>
          <w:sz w:val="26"/>
        </w:rPr>
        <w:t>年</w:t>
      </w:r>
      <w:r w:rsidRPr="00C74F59">
        <w:rPr>
          <w:rFonts w:eastAsia="標楷體"/>
          <w:sz w:val="26"/>
        </w:rPr>
        <w:t>9</w:t>
      </w:r>
      <w:r w:rsidRPr="00C74F59">
        <w:rPr>
          <w:rFonts w:eastAsia="標楷體" w:hint="eastAsia"/>
          <w:sz w:val="26"/>
        </w:rPr>
        <w:t>月發表內建</w:t>
      </w:r>
      <w:r w:rsidRPr="00C74F59">
        <w:rPr>
          <w:rFonts w:eastAsia="標楷體"/>
          <w:sz w:val="26"/>
        </w:rPr>
        <w:t>Snapdragon</w:t>
      </w:r>
      <w:r w:rsidRPr="00C74F59">
        <w:rPr>
          <w:rFonts w:eastAsia="標楷體" w:hint="eastAsia"/>
          <w:sz w:val="26"/>
        </w:rPr>
        <w:t>晶片的機器人，可分類物品和照人類手勢行動；以及推出</w:t>
      </w:r>
      <w:r w:rsidRPr="00C74F59">
        <w:rPr>
          <w:rFonts w:eastAsia="標楷體"/>
          <w:sz w:val="26"/>
        </w:rPr>
        <w:t>3D</w:t>
      </w:r>
      <w:r w:rsidRPr="00C74F59">
        <w:rPr>
          <w:rFonts w:eastAsia="標楷體" w:hint="eastAsia"/>
          <w:sz w:val="26"/>
        </w:rPr>
        <w:t>列印機器人「</w:t>
      </w:r>
      <w:r w:rsidRPr="00C74F59">
        <w:rPr>
          <w:rFonts w:eastAsia="標楷體"/>
          <w:sz w:val="26"/>
        </w:rPr>
        <w:t>Micro Rover</w:t>
      </w:r>
      <w:r w:rsidRPr="00C74F59">
        <w:rPr>
          <w:rFonts w:eastAsia="標楷體" w:hint="eastAsia"/>
          <w:sz w:val="26"/>
        </w:rPr>
        <w:t>」，底部裝有智慧型手機，可透過手機操控機器人行動方向</w:t>
      </w:r>
      <w:r w:rsidR="00F70169" w:rsidRPr="00C74F59">
        <w:rPr>
          <w:rFonts w:eastAsia="標楷體" w:hint="eastAsia"/>
          <w:sz w:val="26"/>
        </w:rPr>
        <w:t>，顯示</w:t>
      </w:r>
      <w:r w:rsidRPr="00C74F59">
        <w:rPr>
          <w:rFonts w:eastAsia="標楷體" w:hint="eastAsia"/>
          <w:sz w:val="26"/>
        </w:rPr>
        <w:t>未來自動化和機器人對製造業型態改變將有重大影響，此一趨勢值得持續關注。</w:t>
      </w:r>
    </w:p>
    <w:p w:rsidR="004163FA" w:rsidRPr="00DA5B83" w:rsidRDefault="004163FA" w:rsidP="00DA5B83">
      <w:pPr>
        <w:pStyle w:val="3"/>
        <w:spacing w:before="72" w:after="72"/>
        <w:rPr>
          <w:rFonts w:ascii="Times New Roman" w:hAnsi="Times New Roman"/>
        </w:rPr>
      </w:pPr>
      <w:r w:rsidRPr="00D15001">
        <w:rPr>
          <w:rFonts w:ascii="Times New Roman" w:hAnsi="Times New Roman" w:hint="eastAsia"/>
        </w:rPr>
        <w:t>貳、中國大陸製造業情勢變化</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近年來自動化和機器人成為全球熱門議題，一個相當大的主因是由於中國大陸製造業情勢的改變，</w:t>
      </w:r>
      <w:r>
        <w:rPr>
          <w:rFonts w:eastAsia="標楷體" w:hint="eastAsia"/>
          <w:sz w:val="26"/>
        </w:rPr>
        <w:t>提升</w:t>
      </w:r>
      <w:r w:rsidRPr="00D15001">
        <w:rPr>
          <w:rFonts w:eastAsia="標楷體" w:hint="eastAsia"/>
          <w:sz w:val="26"/>
        </w:rPr>
        <w:t>了對自動化和機器人需求，因此龐大的市場商機而引起各界的關注。</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sz w:val="26"/>
        </w:rPr>
        <w:t>2013</w:t>
      </w:r>
      <w:r w:rsidRPr="00D15001">
        <w:rPr>
          <w:rFonts w:eastAsia="標楷體" w:hint="eastAsia"/>
          <w:sz w:val="26"/>
        </w:rPr>
        <w:t>年中國大陸服務業的國內生產總值首次超過工業，經濟結構正式邁入轉型階段，從過往製造業主導的出口型經濟逐漸要轉型成為以服務業為主的消費型經濟。過去中國大陸製造業與經濟同步長期高速發展，至今已累積出許多問題，也面臨諸多挑戰：例如勞動成本不斷增加，勞動密集型製造業模式必須有所調整；資源粗放式利用對環境產生嚴重的破壞，節能環保已蔚為目前政策的重點訴求等。以下分別從勞動人口、經濟發展方式、其他國家競爭三個面向，說明中國大陸製造業發展面臨改變的社會與經濟因素。</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從勞動人口來看，</w:t>
      </w:r>
      <w:r w:rsidRPr="00D15001">
        <w:rPr>
          <w:rFonts w:eastAsia="標楷體"/>
          <w:sz w:val="26"/>
        </w:rPr>
        <w:t>2012</w:t>
      </w:r>
      <w:r w:rsidRPr="00D15001">
        <w:rPr>
          <w:rFonts w:eastAsia="標楷體" w:hint="eastAsia"/>
          <w:sz w:val="26"/>
        </w:rPr>
        <w:t>年底中國大陸</w:t>
      </w:r>
      <w:r w:rsidRPr="00D15001">
        <w:rPr>
          <w:rFonts w:eastAsia="標楷體"/>
          <w:sz w:val="26"/>
        </w:rPr>
        <w:t>15-59</w:t>
      </w:r>
      <w:r w:rsidRPr="00D15001">
        <w:rPr>
          <w:rFonts w:eastAsia="標楷體" w:hint="eastAsia"/>
          <w:sz w:val="26"/>
        </w:rPr>
        <w:t>歲勞動年齡人口比</w:t>
      </w:r>
      <w:r w:rsidRPr="00D15001">
        <w:rPr>
          <w:rFonts w:eastAsia="標楷體"/>
          <w:sz w:val="26"/>
        </w:rPr>
        <w:t>2011</w:t>
      </w:r>
      <w:r w:rsidRPr="00D15001">
        <w:rPr>
          <w:rFonts w:eastAsia="標楷體" w:hint="eastAsia"/>
          <w:sz w:val="26"/>
        </w:rPr>
        <w:t>年底減少</w:t>
      </w:r>
      <w:r w:rsidRPr="00D15001">
        <w:rPr>
          <w:rFonts w:eastAsia="標楷體"/>
          <w:sz w:val="26"/>
        </w:rPr>
        <w:t>345</w:t>
      </w:r>
      <w:r w:rsidRPr="00D15001">
        <w:rPr>
          <w:rFonts w:eastAsia="標楷體" w:hint="eastAsia"/>
          <w:sz w:val="26"/>
        </w:rPr>
        <w:t>萬人，這是很長時期以來勞動人口絕對數量首次出現下滑的</w:t>
      </w:r>
      <w:r w:rsidRPr="00D15001">
        <w:rPr>
          <w:rFonts w:eastAsia="標楷體" w:hint="eastAsia"/>
          <w:sz w:val="26"/>
        </w:rPr>
        <w:lastRenderedPageBreak/>
        <w:t>情形。</w:t>
      </w:r>
      <w:r w:rsidRPr="00D15001">
        <w:rPr>
          <w:rFonts w:eastAsia="標楷體"/>
          <w:sz w:val="26"/>
        </w:rPr>
        <w:t>2013</w:t>
      </w:r>
      <w:r w:rsidRPr="00D15001">
        <w:rPr>
          <w:rFonts w:eastAsia="標楷體" w:hint="eastAsia"/>
          <w:sz w:val="26"/>
        </w:rPr>
        <w:t>年勞動年齡人口再度出現萎縮，較上年下降</w:t>
      </w:r>
      <w:r w:rsidRPr="00D15001">
        <w:rPr>
          <w:rFonts w:eastAsia="標楷體"/>
          <w:sz w:val="26"/>
        </w:rPr>
        <w:t>240</w:t>
      </w:r>
      <w:r w:rsidRPr="00D15001">
        <w:rPr>
          <w:rFonts w:eastAsia="標楷體" w:hint="eastAsia"/>
          <w:sz w:val="26"/>
        </w:rPr>
        <w:t>萬人，這意味著人口紅利將反轉且持續收縮，勞動力短缺也將進一步推高薪資水準。為此十八屆三中全會明確提出「單獨兩孩」和延遲退休年齡政策，從未來勞動力供給和延續既有勞動力兩方面著手，試圖維持長期的穩定勞動力供給。單獨兩孩政策是從過去「雙獨」（父母雙方都是獨生子女）改為「單獨」（父母雙方其一為獨生子女），預計今（</w:t>
      </w:r>
      <w:r w:rsidRPr="00D15001">
        <w:rPr>
          <w:rFonts w:eastAsia="標楷體"/>
          <w:sz w:val="26"/>
        </w:rPr>
        <w:t>2014</w:t>
      </w:r>
      <w:r w:rsidRPr="00D15001">
        <w:rPr>
          <w:rFonts w:eastAsia="標楷體" w:hint="eastAsia"/>
          <w:sz w:val="26"/>
        </w:rPr>
        <w:t>）年各省份開始陸續實施。延遲退休年齡尚在研擬中，將遵循漸進式和彈性兩原則，實行養老雙軌制併軌和鼓勵延退的激勵機制。</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除了上述勞動人口總量減少外，勞動意願的改變也影響製造業發展甚為深遠。整體勞動力的教育水平的提高，新生代勞動力不願從事</w:t>
      </w:r>
      <w:r w:rsidRPr="00D15001">
        <w:rPr>
          <w:rFonts w:eastAsia="標楷體"/>
          <w:sz w:val="26"/>
        </w:rPr>
        <w:t>3K</w:t>
      </w:r>
      <w:r w:rsidRPr="00D15001">
        <w:rPr>
          <w:rFonts w:eastAsia="標楷體" w:hint="eastAsia"/>
          <w:sz w:val="26"/>
        </w:rPr>
        <w:t>（骯髒、危險、辛苦）工作，造成製造生產環節的基層勞動力招工困難。加上區域發展重點支持中西部內陸地區，工作機會增加，過去到沿海東部地區打工的農村剩餘勞動力（農民工）大量返鄉就業，這也迫使東部沿海地區製造業面臨轉型升級調整，未來必須降低對人力的需求。</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從經濟發展方式來看，中國大陸製造業面臨經濟效益成長緩慢、品質良率低、資源利用效率低等三大問題。製造業增加值率（增加值除以總產值）僅</w:t>
      </w:r>
      <w:r w:rsidRPr="00D15001">
        <w:rPr>
          <w:rFonts w:eastAsia="標楷體"/>
          <w:sz w:val="26"/>
        </w:rPr>
        <w:t>26%</w:t>
      </w:r>
      <w:r w:rsidRPr="00D15001">
        <w:rPr>
          <w:rFonts w:eastAsia="標楷體" w:hint="eastAsia"/>
          <w:sz w:val="26"/>
        </w:rPr>
        <w:t>左右，低於全球整體平均</w:t>
      </w:r>
      <w:r w:rsidRPr="00D15001">
        <w:rPr>
          <w:rFonts w:eastAsia="標楷體"/>
          <w:sz w:val="26"/>
        </w:rPr>
        <w:t>35%</w:t>
      </w:r>
      <w:r w:rsidRPr="00D15001">
        <w:rPr>
          <w:rFonts w:eastAsia="標楷體" w:hint="eastAsia"/>
          <w:sz w:val="26"/>
        </w:rPr>
        <w:t>左右，以及先進國家的</w:t>
      </w:r>
      <w:r w:rsidRPr="00D15001">
        <w:rPr>
          <w:rFonts w:eastAsia="標楷體"/>
          <w:sz w:val="26"/>
        </w:rPr>
        <w:t>40%</w:t>
      </w:r>
      <w:r w:rsidRPr="00D15001">
        <w:rPr>
          <w:rFonts w:eastAsia="標楷體" w:hint="eastAsia"/>
          <w:sz w:val="26"/>
        </w:rPr>
        <w:t>，經濟效益偏低。製造業每年直接良率損失超過</w:t>
      </w:r>
      <w:r w:rsidRPr="00D15001">
        <w:rPr>
          <w:rFonts w:eastAsia="標楷體"/>
          <w:sz w:val="26"/>
        </w:rPr>
        <w:t>2,000</w:t>
      </w:r>
      <w:r w:rsidRPr="00D15001">
        <w:rPr>
          <w:rFonts w:eastAsia="標楷體" w:hint="eastAsia"/>
          <w:sz w:val="26"/>
        </w:rPr>
        <w:t>億人民幣，間接損失超過</w:t>
      </w:r>
      <w:r w:rsidRPr="00D15001">
        <w:rPr>
          <w:rFonts w:eastAsia="標楷體"/>
          <w:sz w:val="26"/>
        </w:rPr>
        <w:t>1</w:t>
      </w:r>
      <w:r w:rsidRPr="00D15001">
        <w:rPr>
          <w:rFonts w:eastAsia="標楷體" w:hint="eastAsia"/>
          <w:sz w:val="26"/>
        </w:rPr>
        <w:t>兆人民幣，資源利用率效率也偏低，能耗水準比國際平均高出</w:t>
      </w:r>
      <w:r w:rsidRPr="00D15001">
        <w:rPr>
          <w:rFonts w:eastAsia="標楷體"/>
          <w:sz w:val="26"/>
        </w:rPr>
        <w:t>10-20%</w:t>
      </w:r>
      <w:r w:rsidRPr="00D15001">
        <w:rPr>
          <w:rFonts w:eastAsia="標楷體" w:hint="eastAsia"/>
          <w:sz w:val="26"/>
        </w:rPr>
        <w:t>。這些過去製造業發展所累積下來的問題，隨著生態環境問題日益凸顯，資源有效利用刻不容緩，逼迫發展方式必須改變。除此之外，在經濟結構轉型的背景下，過去出口型經濟使製造業吸納了大量勞動力，未來則希望轉型為消費型經濟，要讓服務業成為吸納勞動力的主力，製造業勢必要提高單位生產力以彌補缺口。</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從其他國家競爭來看，歐美日先進國家都在提倡製造業回流和再工業化，號召跨國企業將海外生產線遷回母國，或在母國投資興建新廠，以新</w:t>
      </w:r>
      <w:r w:rsidRPr="00D15001">
        <w:rPr>
          <w:rFonts w:eastAsia="標楷體" w:hint="eastAsia"/>
          <w:sz w:val="26"/>
        </w:rPr>
        <w:lastRenderedPageBreak/>
        <w:t>增母國就業機會和確保實體經濟的發展，這勢必影響跨國公司對中國大陸的投資選擇。再則，近年來中國大陸受到生產成本不斷攀升的影響，勞動力和土地不再是其競爭優勢，許多製造業者紛紛轉移至更低工資、低成本的東南亞地區投資設廠，而留在中國大陸製造業則必須往中西部地區轉移，或者就地進行轉型升級。在先進國家和落後國家的夾擊下，中國大陸既無過往的競爭優勢條件，也無像先進國家擁有強勁的製造能量，未來製造業發展面臨嚴峻的考驗。</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若觀察歷年勞動生產力的變化能夠瞭解中國大陸製造業的發展趨勢。勞動生產力為一項衡量投入與產出的經濟效益指標，當勞動生產力越高表示該地製造業越具有競爭力。以下對中國大陸和臺灣勞動生產力加以討論，進一步觀察兩岸製造業情勢的變化。</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從兩岸每名就業人員勞動生產力來看（圖</w:t>
      </w:r>
      <w:r w:rsidRPr="00D15001">
        <w:rPr>
          <w:rFonts w:eastAsia="標楷體"/>
          <w:sz w:val="26"/>
        </w:rPr>
        <w:t>5-1</w:t>
      </w:r>
      <w:r w:rsidRPr="00D15001">
        <w:rPr>
          <w:rFonts w:eastAsia="標楷體" w:hint="eastAsia"/>
          <w:sz w:val="26"/>
        </w:rPr>
        <w:t>），臺灣勞動生產力雖仍高於中國大陸許多，與</w:t>
      </w:r>
      <w:r w:rsidRPr="00D15001">
        <w:rPr>
          <w:rFonts w:eastAsia="標楷體"/>
          <w:sz w:val="26"/>
        </w:rPr>
        <w:t>1991</w:t>
      </w:r>
      <w:r w:rsidRPr="00D15001">
        <w:rPr>
          <w:rFonts w:eastAsia="標楷體" w:hint="eastAsia"/>
          <w:sz w:val="26"/>
        </w:rPr>
        <w:t>年相比差距也有擴大的情況，但近年來中國大陸勞動生產力上升速度有逐漸加快的情況。若將勞動生產力做為衡量製造業競爭力的一項指標，當中國大陸勞動生產力提升速度加快，意味著製造業競爭力有加快增強的狀況，這股趨勢不容忽視。況且該資料是以中國大陸全國地區為計算，由於各地區發展差異甚大，東部沿海地區與臺灣的經濟水平和製造業發展程度最相近，競爭態勢也最為嚴重，但該數據僅呈現出較落後的中西部地區稀釋了東部地區較高的勞動生產力後的整體結果，所以實際情況會更為嚴峻。</w:t>
      </w:r>
    </w:p>
    <w:p w:rsidR="004163FA" w:rsidRPr="00D15001" w:rsidRDefault="00796180" w:rsidP="004163FA">
      <w:pPr>
        <w:jc w:val="center"/>
        <w:rPr>
          <w:rFonts w:ascii="標楷體" w:eastAsia="標楷體" w:hAnsi="標楷體"/>
        </w:rPr>
      </w:pPr>
      <w:r>
        <w:rPr>
          <w:rFonts w:ascii="Calibri" w:eastAsia="標楷體" w:hAnsi="Calibri"/>
          <w:noProof/>
        </w:rPr>
        <w:lastRenderedPageBreak/>
        <w:drawing>
          <wp:inline distT="0" distB="0" distL="0" distR="0">
            <wp:extent cx="5266690" cy="3056255"/>
            <wp:effectExtent l="0" t="0" r="0" b="0"/>
            <wp:docPr id="18" name="圖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163FA" w:rsidRPr="00D15001" w:rsidRDefault="004163FA" w:rsidP="004163FA">
      <w:pPr>
        <w:rPr>
          <w:rFonts w:eastAsia="標楷體"/>
          <w:sz w:val="20"/>
        </w:rPr>
      </w:pPr>
      <w:r w:rsidRPr="00D15001">
        <w:rPr>
          <w:rFonts w:eastAsia="標楷體" w:hint="eastAsia"/>
          <w:sz w:val="20"/>
        </w:rPr>
        <w:t>資料來源：</w:t>
      </w:r>
      <w:r w:rsidRPr="00D15001">
        <w:rPr>
          <w:rFonts w:eastAsia="標楷體"/>
          <w:sz w:val="20"/>
        </w:rPr>
        <w:t>The Conference Board Total Economy Database.</w:t>
      </w:r>
    </w:p>
    <w:p w:rsidR="004163FA" w:rsidRPr="00B014B3" w:rsidRDefault="004163FA" w:rsidP="00B014B3">
      <w:pPr>
        <w:pStyle w:val="af0"/>
      </w:pPr>
      <w:bookmarkStart w:id="64" w:name="_Toc405462638"/>
      <w:r w:rsidRPr="00D15001">
        <w:rPr>
          <w:rFonts w:hint="eastAsia"/>
        </w:rPr>
        <w:t>圖</w:t>
      </w:r>
      <w:r w:rsidRPr="00D15001">
        <w:t>5-1</w:t>
      </w:r>
      <w:r w:rsidRPr="00D15001">
        <w:rPr>
          <w:rFonts w:hint="eastAsia"/>
        </w:rPr>
        <w:t xml:space="preserve">　兩岸每名就業人員勞動生產力：</w:t>
      </w:r>
      <w:r w:rsidRPr="00D15001">
        <w:t>1991-2013</w:t>
      </w:r>
      <w:r w:rsidRPr="00D15001">
        <w:rPr>
          <w:rFonts w:hint="eastAsia"/>
        </w:rPr>
        <w:t>年</w:t>
      </w:r>
      <w:bookmarkEnd w:id="64"/>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從勞動生產力成長率來看（圖</w:t>
      </w:r>
      <w:r w:rsidRPr="00D15001">
        <w:rPr>
          <w:rFonts w:eastAsia="標楷體"/>
          <w:sz w:val="26"/>
        </w:rPr>
        <w:t>5-2</w:t>
      </w:r>
      <w:r w:rsidRPr="00D15001">
        <w:rPr>
          <w:rFonts w:eastAsia="標楷體" w:hint="eastAsia"/>
          <w:sz w:val="26"/>
        </w:rPr>
        <w:t>），更可清楚看到在</w:t>
      </w:r>
      <w:r w:rsidRPr="00D15001">
        <w:rPr>
          <w:rFonts w:eastAsia="標楷體"/>
          <w:sz w:val="26"/>
        </w:rPr>
        <w:t>1990</w:t>
      </w:r>
      <w:r w:rsidRPr="00D15001">
        <w:rPr>
          <w:rFonts w:eastAsia="標楷體" w:hint="eastAsia"/>
          <w:sz w:val="26"/>
        </w:rPr>
        <w:t>年以前兩岸勞動生產力成長率速度相當，除了部分年份有所波動外，大致趨勢是不相上下。然而</w:t>
      </w:r>
      <w:r w:rsidRPr="00D15001">
        <w:rPr>
          <w:rFonts w:eastAsia="標楷體"/>
          <w:sz w:val="26"/>
        </w:rPr>
        <w:t>1991</w:t>
      </w:r>
      <w:r w:rsidRPr="00D15001">
        <w:rPr>
          <w:rFonts w:eastAsia="標楷體" w:hint="eastAsia"/>
          <w:sz w:val="26"/>
        </w:rPr>
        <w:t>年以後情勢有明顯的變化，中國大陸勞動生產力成長率明顯高過於臺灣，且至今仍持續性保持成長速度快於臺灣。這樣的情況若繼續維持下去，兩岸製造業競爭力必會有反轉之日。</w:t>
      </w:r>
    </w:p>
    <w:p w:rsidR="004163FA" w:rsidRPr="00D15001" w:rsidRDefault="004163FA" w:rsidP="004163FA">
      <w:pPr>
        <w:spacing w:beforeLines="30" w:before="108" w:afterLines="30" w:after="108" w:line="520" w:lineRule="exact"/>
        <w:ind w:firstLineChars="200" w:firstLine="520"/>
        <w:jc w:val="both"/>
        <w:rPr>
          <w:rFonts w:eastAsia="標楷體"/>
          <w:sz w:val="26"/>
        </w:rPr>
      </w:pPr>
    </w:p>
    <w:p w:rsidR="004163FA" w:rsidRPr="00D15001" w:rsidRDefault="00796180" w:rsidP="004163FA">
      <w:pPr>
        <w:widowControl/>
        <w:jc w:val="center"/>
        <w:rPr>
          <w:rFonts w:ascii="標楷體" w:eastAsia="標楷體" w:hAnsi="標楷體"/>
        </w:rPr>
      </w:pPr>
      <w:r>
        <w:rPr>
          <w:rFonts w:eastAsia="標楷體"/>
          <w:noProof/>
          <w:spacing w:val="10"/>
          <w:sz w:val="28"/>
          <w:szCs w:val="28"/>
        </w:rPr>
        <w:lastRenderedPageBreak/>
        <w:drawing>
          <wp:inline distT="0" distB="0" distL="0" distR="0">
            <wp:extent cx="5267960" cy="3056255"/>
            <wp:effectExtent l="0" t="0" r="8890" b="0"/>
            <wp:docPr id="19" name="圖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163FA" w:rsidRPr="00D15001" w:rsidRDefault="004163FA" w:rsidP="004163FA">
      <w:pPr>
        <w:rPr>
          <w:rFonts w:eastAsia="標楷體"/>
          <w:sz w:val="20"/>
        </w:rPr>
      </w:pPr>
      <w:r w:rsidRPr="00D15001">
        <w:rPr>
          <w:rFonts w:eastAsia="標楷體" w:hint="eastAsia"/>
          <w:sz w:val="20"/>
        </w:rPr>
        <w:t>資料來源：</w:t>
      </w:r>
      <w:r w:rsidRPr="00D15001">
        <w:rPr>
          <w:rFonts w:eastAsia="標楷體"/>
          <w:sz w:val="20"/>
        </w:rPr>
        <w:t>Asian Productivity Organization.</w:t>
      </w:r>
    </w:p>
    <w:p w:rsidR="004163FA" w:rsidRPr="00B014B3" w:rsidRDefault="004163FA" w:rsidP="00B014B3">
      <w:pPr>
        <w:pStyle w:val="af0"/>
      </w:pPr>
      <w:bookmarkStart w:id="65" w:name="_Toc405462639"/>
      <w:r w:rsidRPr="00D15001">
        <w:rPr>
          <w:rFonts w:hint="eastAsia"/>
        </w:rPr>
        <w:t>圖</w:t>
      </w:r>
      <w:r w:rsidRPr="00D15001">
        <w:t>5-2</w:t>
      </w:r>
      <w:r w:rsidRPr="00D15001">
        <w:rPr>
          <w:rFonts w:hint="eastAsia"/>
        </w:rPr>
        <w:t xml:space="preserve">　兩岸勞動生產力成長率：</w:t>
      </w:r>
      <w:r w:rsidRPr="00D15001">
        <w:t>1971-2011</w:t>
      </w:r>
      <w:r w:rsidRPr="00D15001">
        <w:rPr>
          <w:rFonts w:hint="eastAsia"/>
        </w:rPr>
        <w:t>年</w:t>
      </w:r>
      <w:bookmarkEnd w:id="65"/>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中國大陸近二、三十年來勞動生產力相當快速的成長，成長幅度甚至領先臺灣，在製造業競爭力不斷提升同時也面臨到許多社會和經濟結構的制約，為了確保製造大國之優勢，以及</w:t>
      </w:r>
      <w:r>
        <w:rPr>
          <w:rFonts w:eastAsia="標楷體" w:hint="eastAsia"/>
          <w:sz w:val="26"/>
        </w:rPr>
        <w:t>提升</w:t>
      </w:r>
      <w:r w:rsidRPr="00D15001">
        <w:rPr>
          <w:rFonts w:eastAsia="標楷體" w:hint="eastAsia"/>
          <w:sz w:val="26"/>
        </w:rPr>
        <w:t>全球價值鏈分工地位，中國大陸積極朝自動化發展，以此轉化勞動密集型產業。這場由中國大陸製造業情勢改變所引起的自動化熱潮，成為全球矚目焦點。</w:t>
      </w:r>
    </w:p>
    <w:p w:rsidR="004163FA" w:rsidRPr="00DA5B83" w:rsidRDefault="004163FA" w:rsidP="00DA5B83">
      <w:pPr>
        <w:pStyle w:val="3"/>
        <w:spacing w:before="72" w:after="72"/>
        <w:rPr>
          <w:rFonts w:ascii="Times New Roman" w:hAnsi="Times New Roman"/>
        </w:rPr>
      </w:pPr>
      <w:r w:rsidRPr="00D15001">
        <w:rPr>
          <w:rFonts w:ascii="Times New Roman" w:hAnsi="Times New Roman" w:hint="eastAsia"/>
        </w:rPr>
        <w:t>參、中國大陸自動化發展現況</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經濟長期以來仰賴製造業高速成長，過去典型的「四高四低」（高投入、高耗能、高汙染、高速度；低產出、低效率，低效益、低技術含量）特徵難以為繼。在這樣的內外大環境改變以及自身發展累積的問題下，製造業正面臨龐大的轉型升級壓力。</w:t>
      </w:r>
      <w:r w:rsidRPr="00D15001">
        <w:rPr>
          <w:rFonts w:eastAsia="標楷體"/>
          <w:sz w:val="26"/>
        </w:rPr>
        <w:t>2014</w:t>
      </w:r>
      <w:r w:rsidRPr="00D15001">
        <w:rPr>
          <w:rFonts w:eastAsia="標楷體" w:hint="eastAsia"/>
          <w:sz w:val="26"/>
        </w:rPr>
        <w:t>年全國兩會政府工作報告對此有相關的重點工作，第六項以創新支撐和引領經濟結構優化升級，提及產業結構要依靠改革，進退並舉。在進方面，要設立新興產業創業創新平臺，透過先進製造引領未來產業發展；在退方面，堅持將產能過剩行業，</w:t>
      </w:r>
      <w:r w:rsidRPr="00D15001">
        <w:rPr>
          <w:rFonts w:eastAsia="標楷體" w:hint="eastAsia"/>
          <w:sz w:val="26"/>
        </w:rPr>
        <w:lastRenderedPageBreak/>
        <w:t>強化環保、耗能、技術等標準。自動化為先進製造重要的組成，透過自動化能夠達到節能環保的生產標準。第八項統籌做好保障和改善民生工作，強調安全生產，透過自動化發展可利用機械手臂替代人力從事危險工作。</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受到整體勞動力減少，以及製造業對就業人口吸納力逐漸降低等眾多因素影響，製造業必須提高單位生產力以彌補缺口，這將是未來中國大陸要持續維持工業生產地位的制約條件。此外，透過自動化能夠達到製造精敏化，提供更高彈性、高效率、節能環保的生產方式，此亦符合中國大陸的發展需求與未來目標。因此自動化成為中國大陸提升製造業競爭力的重要方式，以目前發展情形看來，大致可以歸納為官方從政策面支持「自動化產業」的研發與輔導，民間則積極從事「產業自動化」的應用。前者有賴後者為支撐，後者的發展有賴前者的推進，而兩個層面都對於我國製造業－不論是在中國大陸的臺商還是國內廠商－的未來發展有很重要的意涵。</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rPr>
        <w:t>一、自動化產業</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有鑑於歐美日先進國家與後起之秀韓國都相當重視自動化和機器人產業發展，近年來中國大陸面臨製造業轉型升級的重要時刻，在這方面投資亦十分積極。既是因應社會和經濟情勢改變，也是國家產業科技戰略規劃，以利於</w:t>
      </w:r>
      <w:r>
        <w:rPr>
          <w:rFonts w:eastAsia="標楷體" w:hint="eastAsia"/>
          <w:sz w:val="26"/>
        </w:rPr>
        <w:t>提升</w:t>
      </w:r>
      <w:r w:rsidRPr="00D15001">
        <w:rPr>
          <w:rFonts w:eastAsia="標楷體" w:hint="eastAsia"/>
          <w:sz w:val="26"/>
        </w:rPr>
        <w:t>經濟長遠性的發展和產業結構升級。</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中國大陸雖為全球最大的工業生產國，卻絕大多數從事較低階的製造活動，就算有較高階部分也多集中在外資公司。中國大陸自身在自動化和機器人設備方面的發展遠遠不能匹配其工業生產能量，目前多達</w:t>
      </w:r>
      <w:r w:rsidRPr="00D15001">
        <w:rPr>
          <w:rFonts w:eastAsia="標楷體"/>
          <w:sz w:val="26"/>
        </w:rPr>
        <w:t>95%</w:t>
      </w:r>
      <w:r w:rsidRPr="00D15001">
        <w:rPr>
          <w:rFonts w:eastAsia="標楷體" w:hint="eastAsia"/>
          <w:sz w:val="26"/>
        </w:rPr>
        <w:t>的自動化需求必須仰賴國外設備與廠商。有鑒於此，中國大陸的政策相當著重於發展自主的自動化產業，以滿足未來國內產業自動化的持續成長需求。</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sz w:val="26"/>
        </w:rPr>
        <w:t>2014</w:t>
      </w:r>
      <w:r w:rsidRPr="00D15001">
        <w:rPr>
          <w:rFonts w:eastAsia="標楷體" w:hint="eastAsia"/>
          <w:sz w:val="26"/>
        </w:rPr>
        <w:t>年</w:t>
      </w:r>
      <w:r w:rsidRPr="00D15001">
        <w:rPr>
          <w:rFonts w:eastAsia="標楷體"/>
          <w:sz w:val="26"/>
        </w:rPr>
        <w:t>6</w:t>
      </w:r>
      <w:r w:rsidRPr="00D15001">
        <w:rPr>
          <w:rFonts w:eastAsia="標楷體" w:hint="eastAsia"/>
          <w:sz w:val="26"/>
        </w:rPr>
        <w:t>月習近平在兩院院士大會（中國科學院第十七次院士大會、中國工程院第十二次院士大會）提到</w:t>
      </w:r>
      <w:r w:rsidRPr="00D15001">
        <w:rPr>
          <w:rFonts w:ascii="標楷體" w:eastAsia="標楷體" w:hAnsi="標楷體" w:hint="eastAsia"/>
          <w:sz w:val="26"/>
        </w:rPr>
        <w:t>：</w:t>
      </w:r>
      <w:r w:rsidRPr="00D15001">
        <w:rPr>
          <w:rFonts w:eastAsia="標楷體" w:hint="eastAsia"/>
          <w:sz w:val="26"/>
        </w:rPr>
        <w:t>「</w:t>
      </w:r>
      <w:r w:rsidRPr="00D15001">
        <w:rPr>
          <w:rFonts w:ascii="標楷體" w:eastAsia="標楷體" w:hAnsi="標楷體" w:hint="eastAsia"/>
          <w:sz w:val="26"/>
        </w:rPr>
        <w:t>我看了一份材料說</w:t>
      </w:r>
      <w:r w:rsidRPr="00D15001">
        <w:rPr>
          <w:rFonts w:eastAsia="標楷體" w:hint="eastAsia"/>
          <w:sz w:val="26"/>
        </w:rPr>
        <w:t>『機器人革命』</w:t>
      </w:r>
      <w:r w:rsidRPr="00D15001">
        <w:rPr>
          <w:rFonts w:eastAsia="標楷體" w:hint="eastAsia"/>
          <w:sz w:val="26"/>
        </w:rPr>
        <w:lastRenderedPageBreak/>
        <w:t>有望成為『第三次工業革命』的一個切入點和重要成長點，將影響全球製造業格局，而且我國將成為全球最大的機器人市場。國際機器人聯合會預測，『機器人革命』將創造數萬億美元的市場。由於大數據、雲計算、移動互聯網等新一代資訊技術同機器人技術相互融合步伐加快，</w:t>
      </w:r>
      <w:r w:rsidRPr="00D15001">
        <w:rPr>
          <w:rFonts w:eastAsia="標楷體"/>
          <w:sz w:val="26"/>
        </w:rPr>
        <w:t>3D</w:t>
      </w:r>
      <w:r w:rsidRPr="00D15001">
        <w:rPr>
          <w:rFonts w:eastAsia="標楷體" w:hint="eastAsia"/>
          <w:sz w:val="26"/>
        </w:rPr>
        <w:t>列印、人工智慧迅猛發展，製造機器人的軟硬體技術日趨成熟，成本不斷降低，性能不斷提升，軍用無人機、自動駕駛汽車、家政服務機器人已經成為現實，有的人工智慧機器人已具有相當程度的自主思維和學習能力。國際上有輿論認為，機器人是『製造業皇冠頂端的明珠』，其研發、製造、應用是衡量一個國家科技創新和高端製造業水準的重要標誌。機器人主要製造商和國家紛紛加緊</w:t>
      </w:r>
      <w:r>
        <w:rPr>
          <w:rFonts w:eastAsia="標楷體" w:hint="eastAsia"/>
          <w:sz w:val="26"/>
        </w:rPr>
        <w:t>布</w:t>
      </w:r>
      <w:r w:rsidRPr="00D15001">
        <w:rPr>
          <w:rFonts w:eastAsia="標楷體" w:hint="eastAsia"/>
          <w:sz w:val="26"/>
        </w:rPr>
        <w:t>局，搶占技術和市場制高點。看到這裡，我就在想，我國將成為機器人的最大市場，但我們的技術和製造能力能不能應對這場競爭？我們不僅要把我國機器人水準提高上去，而且要盡可能多地佔領市場。這樣的新技術新領域還很多，我們要審時度勢、全盤考慮、抓緊謀劃、紮實推進。」</w:t>
      </w:r>
    </w:p>
    <w:p w:rsidR="004163FA"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除了中國大陸領導人對機器人產業的高度關注外，在國家發展規劃方面也著墨甚多。在十二五規劃以前，即針對先進製造（自動化）和機器人產業有相關規劃和政策支持；自十二五規劃以後，政策著墨更深且支持力度更大。像是《十二五國家戰略性新興產業發展規劃》和《高端裝備製造業十二五發展規劃》都將工業機器人和智慧製造列為發展重點，且還特別頒布《智慧製造科技發展十二五專項規劃》做為發展自動化產業的專門政策。</w:t>
      </w:r>
      <w:r w:rsidRPr="00D15001">
        <w:rPr>
          <w:rFonts w:eastAsia="標楷體"/>
          <w:sz w:val="26"/>
        </w:rPr>
        <w:t>2013</w:t>
      </w:r>
      <w:r w:rsidRPr="00D15001">
        <w:rPr>
          <w:rFonts w:eastAsia="標楷體" w:hint="eastAsia"/>
          <w:sz w:val="26"/>
        </w:rPr>
        <w:t>年</w:t>
      </w:r>
      <w:r w:rsidRPr="00D15001">
        <w:rPr>
          <w:rFonts w:eastAsia="標楷體"/>
          <w:sz w:val="26"/>
        </w:rPr>
        <w:t>12</w:t>
      </w:r>
      <w:r w:rsidRPr="00D15001">
        <w:rPr>
          <w:rFonts w:eastAsia="標楷體" w:hint="eastAsia"/>
          <w:sz w:val="26"/>
        </w:rPr>
        <w:t>月，工信部更公</w:t>
      </w:r>
      <w:r>
        <w:rPr>
          <w:rFonts w:eastAsia="標楷體" w:hint="eastAsia"/>
          <w:sz w:val="26"/>
        </w:rPr>
        <w:t>布</w:t>
      </w:r>
      <w:r w:rsidRPr="00D15001">
        <w:rPr>
          <w:rFonts w:eastAsia="標楷體" w:hint="eastAsia"/>
          <w:sz w:val="26"/>
        </w:rPr>
        <w:t>《關於推進工業機器人產業發展的指導意見》，提出到</w:t>
      </w:r>
      <w:r w:rsidRPr="00D15001">
        <w:rPr>
          <w:rFonts w:eastAsia="標楷體"/>
          <w:sz w:val="26"/>
        </w:rPr>
        <w:t>2020</w:t>
      </w:r>
      <w:r w:rsidRPr="00D15001">
        <w:rPr>
          <w:rFonts w:eastAsia="標楷體" w:hint="eastAsia"/>
          <w:sz w:val="26"/>
        </w:rPr>
        <w:t>年要形成較為完善的工業機器人產業體系，還有財政部每年對智慧製造提供專案補助等（表</w:t>
      </w:r>
      <w:r w:rsidRPr="00D15001">
        <w:rPr>
          <w:rFonts w:eastAsia="標楷體"/>
          <w:sz w:val="26"/>
        </w:rPr>
        <w:t>5-1</w:t>
      </w:r>
      <w:r w:rsidRPr="00D15001">
        <w:rPr>
          <w:rFonts w:eastAsia="標楷體" w:hint="eastAsia"/>
          <w:sz w:val="26"/>
        </w:rPr>
        <w:t>）。</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這些中央政策主要針對自動化和機器人產業訂定戰略性目標，從上游關鍵零組件、到中游自動化設備和機器人本體、以及下游製造系統整合應用，整個產業價值鏈都有明確指導發展方向。尤其是上游關鍵零組件和中</w:t>
      </w:r>
      <w:r w:rsidRPr="00D15001">
        <w:rPr>
          <w:rFonts w:eastAsia="標楷體" w:hint="eastAsia"/>
          <w:sz w:val="26"/>
        </w:rPr>
        <w:lastRenderedPageBreak/>
        <w:t>游機器人本體更是積極推動，希望藉由投入研發取得技術突破，從上而下支撐整個產業的發展。相對於上中游較主動、深入、全面性的政策支持，下游在輔導產業化就較於被動、淺層的政策鼓勵。</w:t>
      </w:r>
    </w:p>
    <w:p w:rsidR="004163FA" w:rsidRPr="00B014B3" w:rsidRDefault="004163FA" w:rsidP="00B014B3">
      <w:pPr>
        <w:pStyle w:val="a7"/>
      </w:pPr>
      <w:bookmarkStart w:id="66" w:name="_Toc405462612"/>
      <w:r w:rsidRPr="00D15001">
        <w:rPr>
          <w:rFonts w:hint="eastAsia"/>
        </w:rPr>
        <w:t>表</w:t>
      </w:r>
      <w:r w:rsidRPr="00D15001">
        <w:t>5-1</w:t>
      </w:r>
      <w:r w:rsidRPr="00D15001">
        <w:rPr>
          <w:rFonts w:hint="eastAsia"/>
        </w:rPr>
        <w:t xml:space="preserve">　中國大陸中央自動化和機器人產業政策</w:t>
      </w:r>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418"/>
        <w:gridCol w:w="1986"/>
        <w:gridCol w:w="3593"/>
      </w:tblGrid>
      <w:tr w:rsidR="004163FA" w:rsidRPr="00D15001" w:rsidTr="00B014B3">
        <w:trPr>
          <w:jc w:val="center"/>
        </w:trPr>
        <w:tc>
          <w:tcPr>
            <w:tcW w:w="89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發布時間</w:t>
            </w:r>
          </w:p>
        </w:tc>
        <w:tc>
          <w:tcPr>
            <w:tcW w:w="832"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部門</w:t>
            </w:r>
          </w:p>
        </w:tc>
        <w:tc>
          <w:tcPr>
            <w:tcW w:w="116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政策法規</w:t>
            </w:r>
          </w:p>
        </w:tc>
        <w:tc>
          <w:tcPr>
            <w:tcW w:w="2108"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重點內容</w:t>
            </w:r>
          </w:p>
        </w:tc>
      </w:tr>
      <w:tr w:rsidR="004163FA" w:rsidRPr="00D15001" w:rsidTr="00B014B3">
        <w:trPr>
          <w:jc w:val="center"/>
        </w:trPr>
        <w:tc>
          <w:tcPr>
            <w:tcW w:w="89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t xml:space="preserve">2006 </w:t>
            </w:r>
            <w:r w:rsidRPr="00D15001">
              <w:rPr>
                <w:rFonts w:ascii="Calibri" w:eastAsia="標楷體" w:hAnsi="Calibri" w:hint="eastAsia"/>
                <w:sz w:val="22"/>
              </w:rPr>
              <w:t>年</w:t>
            </w:r>
          </w:p>
        </w:tc>
        <w:tc>
          <w:tcPr>
            <w:tcW w:w="832"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國務院</w:t>
            </w:r>
          </w:p>
        </w:tc>
        <w:tc>
          <w:tcPr>
            <w:tcW w:w="116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《先進製造技術十一五規劃》</w:t>
            </w:r>
          </w:p>
        </w:tc>
        <w:tc>
          <w:tcPr>
            <w:tcW w:w="2108"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研發極端製造技術、智慧型機器人技術、重大產品和重大設施壽命預測技術、現代製造整合技術。</w:t>
            </w:r>
          </w:p>
        </w:tc>
      </w:tr>
      <w:tr w:rsidR="004163FA" w:rsidRPr="00D15001" w:rsidTr="00B014B3">
        <w:trPr>
          <w:jc w:val="center"/>
        </w:trPr>
        <w:tc>
          <w:tcPr>
            <w:tcW w:w="89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t xml:space="preserve">2008 </w:t>
            </w:r>
            <w:r w:rsidRPr="00D15001">
              <w:rPr>
                <w:rFonts w:ascii="Calibri" w:eastAsia="標楷體" w:hAnsi="Calibri" w:hint="eastAsia"/>
                <w:sz w:val="22"/>
              </w:rPr>
              <w:t>年</w:t>
            </w:r>
            <w:r w:rsidRPr="00D15001">
              <w:rPr>
                <w:rFonts w:ascii="Calibri" w:eastAsia="標楷體" w:hAnsi="Calibri"/>
                <w:sz w:val="22"/>
              </w:rPr>
              <w:t>4</w:t>
            </w:r>
            <w:r w:rsidRPr="00D15001">
              <w:rPr>
                <w:rFonts w:ascii="Calibri" w:eastAsia="標楷體" w:hAnsi="Calibri" w:hint="eastAsia"/>
                <w:sz w:val="22"/>
              </w:rPr>
              <w:t>月</w:t>
            </w:r>
          </w:p>
        </w:tc>
        <w:tc>
          <w:tcPr>
            <w:tcW w:w="832"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科技部、財政部、國家稅務總局</w:t>
            </w:r>
          </w:p>
        </w:tc>
        <w:tc>
          <w:tcPr>
            <w:tcW w:w="116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《高新技術企業認定管理辦法》</w:t>
            </w:r>
          </w:p>
        </w:tc>
        <w:tc>
          <w:tcPr>
            <w:tcW w:w="2108"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高新技術</w:t>
            </w:r>
            <w:r w:rsidRPr="00D15001">
              <w:rPr>
                <w:rFonts w:ascii="新細明體" w:eastAsia="標楷體" w:hAnsi="新細明體"/>
                <w:sz w:val="22"/>
              </w:rPr>
              <w:t>(</w:t>
            </w:r>
            <w:r w:rsidRPr="00D15001">
              <w:rPr>
                <w:rFonts w:ascii="Calibri" w:eastAsia="標楷體" w:hAnsi="Calibri" w:hint="eastAsia"/>
                <w:sz w:val="22"/>
              </w:rPr>
              <w:t>括先進製造技術中的機器人技術</w:t>
            </w:r>
            <w:r w:rsidRPr="00D15001">
              <w:rPr>
                <w:rFonts w:ascii="新細明體" w:eastAsia="標楷體" w:hAnsi="新細明體"/>
                <w:sz w:val="22"/>
              </w:rPr>
              <w:t>)</w:t>
            </w:r>
            <w:r w:rsidRPr="00D15001">
              <w:rPr>
                <w:rFonts w:ascii="Calibri" w:eastAsia="標楷體" w:hAnsi="Calibri" w:hint="eastAsia"/>
                <w:sz w:val="22"/>
              </w:rPr>
              <w:t>企業享有稅收優惠，包括增值稅退稅、</w:t>
            </w:r>
            <w:r w:rsidRPr="00D15001">
              <w:rPr>
                <w:rFonts w:ascii="Calibri" w:eastAsia="標楷體" w:hAnsi="Calibri"/>
                <w:sz w:val="22"/>
              </w:rPr>
              <w:t>15%</w:t>
            </w:r>
            <w:r w:rsidRPr="00D15001">
              <w:rPr>
                <w:rFonts w:ascii="Calibri" w:eastAsia="標楷體" w:hAnsi="Calibri" w:hint="eastAsia"/>
                <w:sz w:val="22"/>
              </w:rPr>
              <w:t>的企業所得稅等。</w:t>
            </w:r>
          </w:p>
        </w:tc>
      </w:tr>
      <w:tr w:rsidR="004163FA" w:rsidRPr="00D15001" w:rsidTr="00B014B3">
        <w:trPr>
          <w:jc w:val="center"/>
        </w:trPr>
        <w:tc>
          <w:tcPr>
            <w:tcW w:w="89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t>2008</w:t>
            </w:r>
            <w:r w:rsidRPr="00D15001">
              <w:rPr>
                <w:rFonts w:ascii="Calibri" w:eastAsia="標楷體" w:hAnsi="Calibri" w:hint="eastAsia"/>
                <w:sz w:val="22"/>
              </w:rPr>
              <w:t>年</w:t>
            </w:r>
            <w:r w:rsidRPr="00D15001">
              <w:rPr>
                <w:rFonts w:ascii="Calibri" w:eastAsia="標楷體" w:hAnsi="Calibri"/>
                <w:sz w:val="22"/>
              </w:rPr>
              <w:t>12</w:t>
            </w:r>
            <w:r w:rsidRPr="00D15001">
              <w:rPr>
                <w:rFonts w:ascii="Calibri" w:eastAsia="標楷體" w:hAnsi="Calibri" w:hint="eastAsia"/>
                <w:sz w:val="22"/>
              </w:rPr>
              <w:t>月</w:t>
            </w:r>
          </w:p>
        </w:tc>
        <w:tc>
          <w:tcPr>
            <w:tcW w:w="832"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財政部、國家稅務總局</w:t>
            </w:r>
          </w:p>
        </w:tc>
        <w:tc>
          <w:tcPr>
            <w:tcW w:w="116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《關於提高部分機電產品出口退稅率的通知》</w:t>
            </w:r>
          </w:p>
        </w:tc>
        <w:tc>
          <w:tcPr>
            <w:tcW w:w="2108"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將工業機器人產品的出口退稅率由</w:t>
            </w:r>
            <w:r w:rsidRPr="00D15001">
              <w:rPr>
                <w:rFonts w:ascii="Calibri" w:eastAsia="標楷體" w:hAnsi="Calibri"/>
                <w:sz w:val="22"/>
              </w:rPr>
              <w:t>14%</w:t>
            </w:r>
            <w:r w:rsidRPr="00D15001">
              <w:rPr>
                <w:rFonts w:ascii="Calibri" w:eastAsia="標楷體" w:hAnsi="Calibri" w:hint="eastAsia"/>
                <w:sz w:val="22"/>
              </w:rPr>
              <w:t>提高到</w:t>
            </w:r>
            <w:r w:rsidRPr="00D15001">
              <w:rPr>
                <w:rFonts w:ascii="Calibri" w:eastAsia="標楷體" w:hAnsi="Calibri"/>
                <w:sz w:val="22"/>
              </w:rPr>
              <w:t>17%</w:t>
            </w:r>
            <w:r w:rsidRPr="00D15001">
              <w:rPr>
                <w:rFonts w:ascii="Calibri" w:eastAsia="標楷體" w:hAnsi="Calibri" w:hint="eastAsia"/>
                <w:sz w:val="22"/>
              </w:rPr>
              <w:t>。</w:t>
            </w:r>
          </w:p>
        </w:tc>
      </w:tr>
      <w:tr w:rsidR="004163FA" w:rsidRPr="00D15001" w:rsidTr="00B014B3">
        <w:trPr>
          <w:jc w:val="center"/>
        </w:trPr>
        <w:tc>
          <w:tcPr>
            <w:tcW w:w="89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t>2012</w:t>
            </w:r>
            <w:r w:rsidRPr="00D15001">
              <w:rPr>
                <w:rFonts w:ascii="Calibri" w:eastAsia="標楷體" w:hAnsi="Calibri" w:hint="eastAsia"/>
                <w:sz w:val="22"/>
              </w:rPr>
              <w:t>年</w:t>
            </w:r>
            <w:r w:rsidRPr="00D15001">
              <w:rPr>
                <w:rFonts w:ascii="Calibri" w:eastAsia="標楷體" w:hAnsi="Calibri"/>
                <w:sz w:val="22"/>
              </w:rPr>
              <w:t>4</w:t>
            </w:r>
            <w:r w:rsidRPr="00D15001">
              <w:rPr>
                <w:rFonts w:ascii="Calibri" w:eastAsia="標楷體" w:hAnsi="Calibri" w:hint="eastAsia"/>
                <w:sz w:val="22"/>
              </w:rPr>
              <w:t>月</w:t>
            </w:r>
          </w:p>
        </w:tc>
        <w:tc>
          <w:tcPr>
            <w:tcW w:w="832"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科技部</w:t>
            </w:r>
          </w:p>
        </w:tc>
        <w:tc>
          <w:tcPr>
            <w:tcW w:w="116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《智慧製造科技發展十二五專項規劃》</w:t>
            </w:r>
            <w:r w:rsidRPr="00D15001">
              <w:rPr>
                <w:rFonts w:ascii="Calibri" w:eastAsia="標楷體" w:hAnsi="Calibri"/>
                <w:sz w:val="22"/>
              </w:rPr>
              <w:t xml:space="preserve"> </w:t>
            </w:r>
          </w:p>
        </w:tc>
        <w:tc>
          <w:tcPr>
            <w:tcW w:w="2108"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研發工業機器人本體、精密減速器、伺服驅動器和電機、控制器等核心零組件的共性技術，自主研發工業機器人工程化產品，實現工業機器人及其核心零組件的技術突破和產業化。</w:t>
            </w:r>
            <w:r w:rsidRPr="00D15001">
              <w:rPr>
                <w:rFonts w:ascii="Calibri" w:eastAsia="標楷體" w:hAnsi="Calibri"/>
                <w:sz w:val="22"/>
              </w:rPr>
              <w:t xml:space="preserve"> </w:t>
            </w:r>
          </w:p>
        </w:tc>
      </w:tr>
      <w:tr w:rsidR="004163FA" w:rsidRPr="00D15001" w:rsidTr="00B014B3">
        <w:trPr>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t xml:space="preserve">2012 </w:t>
            </w:r>
            <w:r w:rsidRPr="00D15001">
              <w:rPr>
                <w:rFonts w:ascii="Calibri" w:eastAsia="標楷體" w:hAnsi="Calibri" w:hint="eastAsia"/>
                <w:sz w:val="22"/>
              </w:rPr>
              <w:t>年</w:t>
            </w:r>
            <w:r w:rsidRPr="00D15001">
              <w:rPr>
                <w:rFonts w:ascii="Calibri" w:eastAsia="標楷體" w:hAnsi="Calibri"/>
                <w:sz w:val="22"/>
              </w:rPr>
              <w:t>5</w:t>
            </w:r>
            <w:r w:rsidRPr="00D15001">
              <w:rPr>
                <w:rFonts w:ascii="Calibri" w:eastAsia="標楷體" w:hAnsi="Calibri" w:hint="eastAsia"/>
                <w:sz w:val="22"/>
              </w:rPr>
              <w:t>月</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工信部</w:t>
            </w:r>
            <w:r w:rsidRPr="00D15001">
              <w:rPr>
                <w:rFonts w:ascii="Calibri" w:eastAsia="標楷體" w:hAnsi="Calibri"/>
                <w:sz w:val="22"/>
              </w:rPr>
              <w:t xml:space="preserve"> </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《高端裝備製造業十二五發展規劃》</w:t>
            </w:r>
            <w:r w:rsidRPr="00D15001">
              <w:rPr>
                <w:rFonts w:ascii="Calibri" w:eastAsia="標楷體" w:hAnsi="Calibri"/>
                <w:sz w:val="22"/>
              </w:rPr>
              <w:t xml:space="preserve"> </w:t>
            </w:r>
          </w:p>
        </w:tc>
        <w:tc>
          <w:tcPr>
            <w:tcW w:w="2108"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智慧製造裝備提出重點開發智慧控制系統、伺服控制機構、工業機器人和專業機器人等八大類典型的智慧測控裝置和部件並實現產業化。</w:t>
            </w:r>
            <w:r w:rsidRPr="00D15001">
              <w:rPr>
                <w:rFonts w:ascii="Calibri" w:eastAsia="標楷體" w:hAnsi="Calibri"/>
                <w:sz w:val="22"/>
              </w:rPr>
              <w:t xml:space="preserve"> </w:t>
            </w:r>
          </w:p>
        </w:tc>
      </w:tr>
      <w:tr w:rsidR="004163FA" w:rsidRPr="00D15001" w:rsidTr="00B014B3">
        <w:trPr>
          <w:jc w:val="center"/>
        </w:trPr>
        <w:tc>
          <w:tcPr>
            <w:tcW w:w="89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t>2012</w:t>
            </w:r>
            <w:r w:rsidRPr="00D15001">
              <w:rPr>
                <w:rFonts w:ascii="Calibri" w:eastAsia="標楷體" w:hAnsi="Calibri" w:hint="eastAsia"/>
                <w:sz w:val="22"/>
              </w:rPr>
              <w:t>年</w:t>
            </w:r>
            <w:r w:rsidRPr="00D15001">
              <w:rPr>
                <w:rFonts w:ascii="Calibri" w:eastAsia="標楷體" w:hAnsi="Calibri"/>
                <w:sz w:val="22"/>
              </w:rPr>
              <w:t>5</w:t>
            </w:r>
            <w:r w:rsidRPr="00D15001">
              <w:rPr>
                <w:rFonts w:ascii="Calibri" w:eastAsia="標楷體" w:hAnsi="Calibri" w:hint="eastAsia"/>
                <w:sz w:val="22"/>
              </w:rPr>
              <w:t>月</w:t>
            </w:r>
          </w:p>
        </w:tc>
        <w:tc>
          <w:tcPr>
            <w:tcW w:w="832"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工信部</w:t>
            </w:r>
          </w:p>
        </w:tc>
        <w:tc>
          <w:tcPr>
            <w:tcW w:w="116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《智慧製造裝備產業十二五發展規劃》</w:t>
            </w:r>
          </w:p>
        </w:tc>
        <w:tc>
          <w:tcPr>
            <w:tcW w:w="2108"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圍繞重大智慧製造成套裝備研發以及智慧製造技術的推廣應用，開發機器人、感知系統、智慧型儀器表等典型的智慧測控裝置和部件並實現產業化。</w:t>
            </w:r>
          </w:p>
        </w:tc>
      </w:tr>
      <w:tr w:rsidR="004163FA" w:rsidRPr="00D15001" w:rsidTr="00B014B3">
        <w:trPr>
          <w:jc w:val="center"/>
        </w:trPr>
        <w:tc>
          <w:tcPr>
            <w:tcW w:w="89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t>2012</w:t>
            </w:r>
            <w:r w:rsidRPr="00D15001">
              <w:rPr>
                <w:rFonts w:ascii="Calibri" w:eastAsia="標楷體" w:hAnsi="Calibri" w:hint="eastAsia"/>
                <w:sz w:val="22"/>
              </w:rPr>
              <w:t>年</w:t>
            </w:r>
            <w:r w:rsidRPr="00D15001">
              <w:rPr>
                <w:rFonts w:ascii="Calibri" w:eastAsia="標楷體" w:hAnsi="Calibri"/>
                <w:sz w:val="22"/>
              </w:rPr>
              <w:t>5</w:t>
            </w:r>
            <w:r w:rsidRPr="00D15001">
              <w:rPr>
                <w:rFonts w:ascii="Calibri" w:eastAsia="標楷體" w:hAnsi="Calibri" w:hint="eastAsia"/>
                <w:sz w:val="22"/>
              </w:rPr>
              <w:t>月</w:t>
            </w:r>
          </w:p>
        </w:tc>
        <w:tc>
          <w:tcPr>
            <w:tcW w:w="832"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財政部</w:t>
            </w:r>
          </w:p>
        </w:tc>
        <w:tc>
          <w:tcPr>
            <w:tcW w:w="116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w:t>
            </w:r>
            <w:r w:rsidRPr="00D15001">
              <w:rPr>
                <w:rFonts w:ascii="Calibri" w:eastAsia="標楷體" w:hAnsi="Calibri"/>
                <w:sz w:val="22"/>
              </w:rPr>
              <w:t>2012</w:t>
            </w:r>
            <w:r w:rsidRPr="00D15001">
              <w:rPr>
                <w:rFonts w:ascii="Calibri" w:eastAsia="標楷體" w:hAnsi="Calibri" w:hint="eastAsia"/>
                <w:sz w:val="22"/>
              </w:rPr>
              <w:t>年擬支援智慧製造裝備專案公示》</w:t>
            </w:r>
          </w:p>
        </w:tc>
        <w:tc>
          <w:tcPr>
            <w:tcW w:w="2108"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sz w:val="22"/>
              </w:rPr>
              <w:t>2012</w:t>
            </w:r>
            <w:r w:rsidRPr="00D15001">
              <w:rPr>
                <w:rFonts w:ascii="Calibri" w:eastAsia="標楷體" w:hAnsi="Calibri" w:hint="eastAsia"/>
                <w:sz w:val="22"/>
              </w:rPr>
              <w:t>年智慧製造裝備專案擬支援名單共有</w:t>
            </w:r>
            <w:r w:rsidRPr="00D15001">
              <w:rPr>
                <w:rFonts w:ascii="Calibri" w:eastAsia="標楷體" w:hAnsi="Calibri"/>
                <w:sz w:val="22"/>
              </w:rPr>
              <w:t xml:space="preserve"> 64 </w:t>
            </w:r>
            <w:r w:rsidRPr="00D15001">
              <w:rPr>
                <w:rFonts w:ascii="Calibri" w:eastAsia="標楷體" w:hAnsi="Calibri" w:hint="eastAsia"/>
                <w:sz w:val="22"/>
              </w:rPr>
              <w:t>個專案，包括軟控股份和賽輪股份的輪胎行業工業機器人產業化、海大集團在包裝物流的搬運機器人等工業機器人項目和智慧製造系統整合應用。</w:t>
            </w:r>
          </w:p>
        </w:tc>
      </w:tr>
      <w:tr w:rsidR="004163FA" w:rsidRPr="00D15001" w:rsidTr="00B014B3">
        <w:trPr>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t xml:space="preserve">2012 </w:t>
            </w:r>
            <w:r w:rsidRPr="00D15001">
              <w:rPr>
                <w:rFonts w:ascii="Calibri" w:eastAsia="標楷體" w:hAnsi="Calibri" w:hint="eastAsia"/>
                <w:sz w:val="22"/>
              </w:rPr>
              <w:t>年</w:t>
            </w:r>
            <w:r w:rsidRPr="00D15001">
              <w:rPr>
                <w:rFonts w:ascii="Calibri" w:eastAsia="標楷體" w:hAnsi="Calibri"/>
                <w:sz w:val="22"/>
              </w:rPr>
              <w:t>7</w:t>
            </w:r>
            <w:r w:rsidRPr="00D15001">
              <w:rPr>
                <w:rFonts w:ascii="Calibri" w:eastAsia="標楷體" w:hAnsi="Calibri" w:hint="eastAsia"/>
                <w:sz w:val="22"/>
              </w:rPr>
              <w:t>月</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國務院</w:t>
            </w:r>
            <w:r w:rsidRPr="00D15001">
              <w:rPr>
                <w:rFonts w:ascii="Calibri" w:eastAsia="標楷體" w:hAnsi="Calibri"/>
                <w:sz w:val="22"/>
              </w:rPr>
              <w:t xml:space="preserve"> </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《十二五國家戰略性新興產業發展規劃》</w:t>
            </w:r>
            <w:r w:rsidRPr="00D15001">
              <w:rPr>
                <w:rFonts w:ascii="Calibri" w:eastAsia="標楷體" w:hAnsi="Calibri"/>
                <w:sz w:val="22"/>
              </w:rPr>
              <w:t xml:space="preserve"> </w:t>
            </w:r>
          </w:p>
        </w:tc>
        <w:tc>
          <w:tcPr>
            <w:tcW w:w="2108"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研發新型感測器與智慧型儀器儀錶、自動控制系統、工業機器人等感知、控制裝置及其伺服、執行、傳動零部件等核心關鍵技術，提高成套系統集成能力。</w:t>
            </w:r>
            <w:r w:rsidRPr="00D15001">
              <w:rPr>
                <w:rFonts w:ascii="Calibri" w:eastAsia="標楷體" w:hAnsi="Calibri"/>
                <w:sz w:val="22"/>
              </w:rPr>
              <w:t xml:space="preserve"> </w:t>
            </w:r>
          </w:p>
        </w:tc>
      </w:tr>
    </w:tbl>
    <w:p w:rsidR="004163FA" w:rsidRPr="00D15001" w:rsidRDefault="004163FA" w:rsidP="004163FA">
      <w:pPr>
        <w:rPr>
          <w:rFonts w:eastAsia="標楷體"/>
          <w:sz w:val="20"/>
        </w:rPr>
      </w:pPr>
    </w:p>
    <w:p w:rsidR="004163FA" w:rsidRPr="00D15001" w:rsidRDefault="004163FA" w:rsidP="004163FA">
      <w:pPr>
        <w:rPr>
          <w:rFonts w:eastAsia="標楷體"/>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418"/>
        <w:gridCol w:w="1986"/>
        <w:gridCol w:w="3593"/>
      </w:tblGrid>
      <w:tr w:rsidR="004163FA" w:rsidRPr="00D15001" w:rsidTr="00B014B3">
        <w:trPr>
          <w:jc w:val="cent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lastRenderedPageBreak/>
              <w:t>2013</w:t>
            </w:r>
            <w:r w:rsidRPr="00D15001">
              <w:rPr>
                <w:rFonts w:ascii="Calibri" w:eastAsia="標楷體" w:hAnsi="Calibri" w:hint="eastAsia"/>
                <w:sz w:val="22"/>
              </w:rPr>
              <w:t>年</w:t>
            </w:r>
            <w:r w:rsidRPr="00D15001">
              <w:rPr>
                <w:rFonts w:ascii="Calibri" w:eastAsia="標楷體" w:hAnsi="Calibri"/>
                <w:sz w:val="22"/>
              </w:rPr>
              <w:t>2</w:t>
            </w:r>
            <w:r w:rsidRPr="00D15001">
              <w:rPr>
                <w:rFonts w:ascii="Calibri" w:eastAsia="標楷體" w:hAnsi="Calibri" w:hint="eastAsia"/>
                <w:sz w:val="22"/>
              </w:rPr>
              <w:t>月</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發改委</w:t>
            </w:r>
          </w:p>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財政部</w:t>
            </w:r>
          </w:p>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工信部</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《關於組織實施</w:t>
            </w:r>
            <w:r w:rsidRPr="00D15001">
              <w:rPr>
                <w:rFonts w:ascii="Calibri" w:eastAsia="標楷體" w:hAnsi="Calibri"/>
                <w:sz w:val="22"/>
              </w:rPr>
              <w:t>2013</w:t>
            </w:r>
            <w:r w:rsidRPr="00D15001">
              <w:rPr>
                <w:rFonts w:ascii="Calibri" w:eastAsia="標楷體" w:hAnsi="Calibri" w:hint="eastAsia"/>
                <w:sz w:val="22"/>
              </w:rPr>
              <w:t>年智慧製造裝備發展專項的通知》</w:t>
            </w:r>
          </w:p>
        </w:tc>
        <w:tc>
          <w:tcPr>
            <w:tcW w:w="2108" w:type="pct"/>
            <w:tcBorders>
              <w:top w:val="single" w:sz="4" w:space="0" w:color="auto"/>
              <w:left w:val="single" w:sz="4" w:space="0" w:color="auto"/>
              <w:bottom w:val="single" w:sz="4" w:space="0" w:color="auto"/>
              <w:right w:val="single" w:sz="4" w:space="0" w:color="auto"/>
            </w:tcBorders>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鼓勵實施智慧製造裝備發展專項，並明確提出發展數位化車間、研發創新核心智慧測控裝置及智慧技術和智慧製造系統的示範應用項目。</w:t>
            </w:r>
          </w:p>
        </w:tc>
      </w:tr>
      <w:tr w:rsidR="004163FA" w:rsidRPr="00D15001" w:rsidTr="00B014B3">
        <w:trPr>
          <w:jc w:val="center"/>
        </w:trPr>
        <w:tc>
          <w:tcPr>
            <w:tcW w:w="89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sz w:val="22"/>
              </w:rPr>
              <w:t>2013</w:t>
            </w:r>
            <w:r w:rsidRPr="00D15001">
              <w:rPr>
                <w:rFonts w:ascii="Calibri" w:eastAsia="標楷體" w:hAnsi="Calibri" w:hint="eastAsia"/>
                <w:sz w:val="22"/>
              </w:rPr>
              <w:t>年</w:t>
            </w:r>
            <w:r w:rsidRPr="00D15001">
              <w:rPr>
                <w:rFonts w:ascii="Calibri" w:eastAsia="標楷體" w:hAnsi="Calibri"/>
                <w:sz w:val="22"/>
              </w:rPr>
              <w:t>12</w:t>
            </w:r>
            <w:r w:rsidRPr="00D15001">
              <w:rPr>
                <w:rFonts w:ascii="Calibri" w:eastAsia="標楷體" w:hAnsi="Calibri" w:hint="eastAsia"/>
                <w:sz w:val="22"/>
              </w:rPr>
              <w:t>月</w:t>
            </w:r>
            <w:r w:rsidRPr="00D15001">
              <w:rPr>
                <w:rFonts w:ascii="Calibri" w:eastAsia="標楷體" w:hAnsi="Calibri"/>
                <w:sz w:val="22"/>
              </w:rPr>
              <w:t xml:space="preserve"> </w:t>
            </w:r>
          </w:p>
        </w:tc>
        <w:tc>
          <w:tcPr>
            <w:tcW w:w="832"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工信部</w:t>
            </w:r>
          </w:p>
        </w:tc>
        <w:tc>
          <w:tcPr>
            <w:tcW w:w="116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《工業和資訊化部關於推進工業機器人產業發展的指導意見》</w:t>
            </w:r>
          </w:p>
        </w:tc>
        <w:tc>
          <w:tcPr>
            <w:tcW w:w="2108"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要求到</w:t>
            </w:r>
            <w:r w:rsidRPr="00D15001">
              <w:rPr>
                <w:rFonts w:ascii="Calibri" w:eastAsia="標楷體" w:hAnsi="Calibri"/>
                <w:sz w:val="22"/>
              </w:rPr>
              <w:t>2020</w:t>
            </w:r>
            <w:r w:rsidRPr="00D15001">
              <w:rPr>
                <w:rFonts w:ascii="Calibri" w:eastAsia="標楷體" w:hAnsi="Calibri" w:hint="eastAsia"/>
                <w:sz w:val="22"/>
              </w:rPr>
              <w:t>年，形成較為完善的工業機器人產業體系，培育</w:t>
            </w:r>
            <w:r w:rsidRPr="00D15001">
              <w:rPr>
                <w:rFonts w:ascii="Calibri" w:eastAsia="標楷體" w:hAnsi="Calibri"/>
                <w:sz w:val="22"/>
              </w:rPr>
              <w:t>3-5</w:t>
            </w:r>
            <w:r w:rsidRPr="00D15001">
              <w:rPr>
                <w:rFonts w:ascii="Calibri" w:eastAsia="標楷體" w:hAnsi="Calibri" w:hint="eastAsia"/>
                <w:sz w:val="22"/>
              </w:rPr>
              <w:t>傢俱有國際競爭力的龍頭企業和</w:t>
            </w:r>
            <w:r w:rsidRPr="00D15001">
              <w:rPr>
                <w:rFonts w:ascii="Calibri" w:eastAsia="標楷體" w:hAnsi="Calibri"/>
                <w:sz w:val="22"/>
              </w:rPr>
              <w:t>8-10</w:t>
            </w:r>
            <w:r w:rsidRPr="00D15001">
              <w:rPr>
                <w:rFonts w:ascii="Calibri" w:eastAsia="標楷體" w:hAnsi="Calibri" w:hint="eastAsia"/>
                <w:sz w:val="22"/>
              </w:rPr>
              <w:t>個配套產業集群；工業機器人行業和企業的技術創新能力和國際競爭能力明顯增強，高端產品市場佔有率提高到</w:t>
            </w:r>
            <w:r w:rsidRPr="00D15001">
              <w:rPr>
                <w:rFonts w:ascii="Calibri" w:eastAsia="標楷體" w:hAnsi="Calibri"/>
                <w:sz w:val="22"/>
              </w:rPr>
              <w:t>45%</w:t>
            </w:r>
            <w:r w:rsidRPr="00D15001">
              <w:rPr>
                <w:rFonts w:ascii="Calibri" w:eastAsia="標楷體" w:hAnsi="Calibri" w:hint="eastAsia"/>
                <w:sz w:val="22"/>
              </w:rPr>
              <w:t>以上，每萬名員工使用機器人臺數達到</w:t>
            </w:r>
            <w:r w:rsidRPr="00D15001">
              <w:rPr>
                <w:rFonts w:ascii="Calibri" w:eastAsia="標楷體" w:hAnsi="Calibri"/>
                <w:sz w:val="22"/>
              </w:rPr>
              <w:t>100</w:t>
            </w:r>
            <w:r w:rsidRPr="00D15001">
              <w:rPr>
                <w:rFonts w:ascii="Calibri" w:eastAsia="標楷體" w:hAnsi="Calibri" w:hint="eastAsia"/>
                <w:sz w:val="22"/>
              </w:rPr>
              <w:t>以上。</w:t>
            </w:r>
          </w:p>
        </w:tc>
      </w:tr>
    </w:tbl>
    <w:p w:rsidR="004163FA" w:rsidRPr="00D15001" w:rsidRDefault="004163FA" w:rsidP="004163FA">
      <w:pPr>
        <w:rPr>
          <w:rFonts w:eastAsia="標楷體"/>
          <w:sz w:val="20"/>
        </w:rPr>
      </w:pPr>
      <w:r w:rsidRPr="00D15001">
        <w:rPr>
          <w:rFonts w:eastAsia="標楷體" w:hint="eastAsia"/>
          <w:sz w:val="20"/>
        </w:rPr>
        <w:t>資料來源：中國大陸各政府部門、本研究整理。</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除了中央政府的政策規劃，地方政府對自動化和機器人產業發展也相當重視，尤其是對機器人產業的政策支持更是鮮明。從表</w:t>
      </w:r>
      <w:r w:rsidRPr="00D15001">
        <w:rPr>
          <w:rFonts w:eastAsia="標楷體"/>
          <w:sz w:val="26"/>
        </w:rPr>
        <w:t>5-2</w:t>
      </w:r>
      <w:r w:rsidRPr="00D15001">
        <w:rPr>
          <w:rFonts w:eastAsia="標楷體" w:hint="eastAsia"/>
          <w:sz w:val="26"/>
        </w:rPr>
        <w:t>來看，除了重慶為內陸地區外，其他上海、浙江、江蘇、安徽、福建和山東等皆為沿海省市，可見得在經濟發展前沿的東部地區面臨到社會和經濟情勢改變，轉型升級的壓力最具急迫性，因此在投入智慧製造和機器人產業發展最為積極。這一方面是落實中央政策規劃，積極投入相關技術的研發；另一方面也是塑造地方產業群聚發展的有利條件，帶動整體產業自動化風氣。</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無論是中央政府對自動化和機器人產業的重視處，或是地方政府積極推動和落實方向，都相當著重在上游關鍵零組件和中游機械設備。這有別於歐美日先進國家著重在自動化和機器人應用領域的發展，但與後進國家－韓國相同，較著重設備本身的技術研發。主要是因為應用領域的發展需要有強而有力的零組件和設備為基礎，身為後進國家的中國大陸深知若要推動自動化產業的長遠性發展，就必須掌握關鍵零組件技術和自製設備能力。這既做為戰略性新興產業來發展推動，同時也是促進製造業價值鏈的升級。</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然而，中國大陸從</w:t>
      </w:r>
      <w:r w:rsidRPr="002431AA">
        <w:rPr>
          <w:rFonts w:eastAsia="標楷體" w:hint="eastAsia"/>
          <w:spacing w:val="-4"/>
          <w:sz w:val="26"/>
        </w:rPr>
        <w:t>中央到地方政府都積極扶持自動化和機器人產業，但整體而言尚處於零散、不成系統且難以共同發展的階段，導致整體效果並不理想，還需</w:t>
      </w:r>
      <w:r w:rsidRPr="002431AA">
        <w:rPr>
          <w:rFonts w:ascii="標楷體" w:eastAsia="標楷體" w:hAnsi="標楷體" w:hint="eastAsia"/>
          <w:spacing w:val="-4"/>
          <w:sz w:val="26"/>
        </w:rPr>
        <w:t>明確</w:t>
      </w:r>
      <w:r w:rsidRPr="002431AA">
        <w:rPr>
          <w:rFonts w:eastAsia="標楷體" w:hint="eastAsia"/>
          <w:spacing w:val="-4"/>
          <w:sz w:val="26"/>
        </w:rPr>
        <w:t>行業規口和行業規劃，以</w:t>
      </w:r>
      <w:r w:rsidRPr="00D15001">
        <w:rPr>
          <w:rFonts w:eastAsia="標楷體" w:hint="eastAsia"/>
          <w:sz w:val="26"/>
        </w:rPr>
        <w:t>及制定行業標準等問題待解決。</w:t>
      </w:r>
    </w:p>
    <w:p w:rsidR="004163FA" w:rsidRPr="00B014B3" w:rsidRDefault="004163FA" w:rsidP="00B014B3">
      <w:pPr>
        <w:pStyle w:val="a7"/>
      </w:pPr>
      <w:r w:rsidRPr="00D15001">
        <w:lastRenderedPageBreak/>
        <w:tab/>
      </w:r>
      <w:bookmarkStart w:id="67" w:name="_Toc405462613"/>
      <w:r w:rsidRPr="00D15001">
        <w:rPr>
          <w:rFonts w:hint="eastAsia"/>
        </w:rPr>
        <w:t>表</w:t>
      </w:r>
      <w:r w:rsidRPr="00D15001">
        <w:t>5-2</w:t>
      </w:r>
      <w:r w:rsidRPr="00D15001">
        <w:rPr>
          <w:rFonts w:hint="eastAsia"/>
        </w:rPr>
        <w:t xml:space="preserve">　中國大陸地方自動化和機器人產業規劃現況</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6"/>
        <w:gridCol w:w="4304"/>
      </w:tblGrid>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地區</w:t>
            </w:r>
          </w:p>
        </w:tc>
        <w:tc>
          <w:tcPr>
            <w:tcW w:w="1746"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發展方向</w:t>
            </w:r>
          </w:p>
        </w:tc>
        <w:tc>
          <w:tcPr>
            <w:tcW w:w="2525"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預計規模</w:t>
            </w:r>
          </w:p>
        </w:tc>
      </w:tr>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上海</w:t>
            </w:r>
            <w:r w:rsidRPr="00D15001">
              <w:rPr>
                <w:rFonts w:ascii="Calibri" w:eastAsia="標楷體" w:hAnsi="Calibri"/>
                <w:sz w:val="22"/>
              </w:rPr>
              <w:t xml:space="preserve"> </w:t>
            </w:r>
          </w:p>
        </w:tc>
        <w:tc>
          <w:tcPr>
            <w:tcW w:w="1746"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w:t>
            </w:r>
            <w:r w:rsidRPr="00D15001">
              <w:rPr>
                <w:rFonts w:ascii="Calibri" w:eastAsia="標楷體" w:hAnsi="Calibri"/>
                <w:sz w:val="22"/>
              </w:rPr>
              <w:t>2+X</w:t>
            </w:r>
            <w:r w:rsidRPr="00D15001">
              <w:rPr>
                <w:rFonts w:ascii="Calibri" w:eastAsia="標楷體" w:hAnsi="Calibri" w:hint="eastAsia"/>
                <w:sz w:val="22"/>
              </w:rPr>
              <w:t>」群聚發展格局：康橋、金橋為核心的浦東機器人產業群聚區，顧村機器人產業園為核心的寶山機器人產業基地</w:t>
            </w:r>
            <w:r w:rsidRPr="00D15001">
              <w:rPr>
                <w:rFonts w:ascii="Calibri" w:eastAsia="標楷體" w:hAnsi="Calibri"/>
                <w:sz w:val="22"/>
              </w:rPr>
              <w:t>(</w:t>
            </w:r>
            <w:r w:rsidRPr="00D15001">
              <w:rPr>
                <w:rFonts w:ascii="Calibri" w:eastAsia="標楷體" w:hAnsi="Calibri" w:hint="eastAsia"/>
                <w:sz w:val="22"/>
              </w:rPr>
              <w:t>又名上海機器人產業園</w:t>
            </w:r>
            <w:r w:rsidRPr="00D15001">
              <w:rPr>
                <w:rFonts w:ascii="Calibri" w:eastAsia="標楷體" w:hAnsi="Calibri"/>
                <w:sz w:val="22"/>
              </w:rPr>
              <w:t>)</w:t>
            </w:r>
            <w:r w:rsidRPr="00D15001">
              <w:rPr>
                <w:rFonts w:ascii="Calibri" w:eastAsia="標楷體" w:hAnsi="Calibri" w:hint="eastAsia"/>
                <w:sz w:val="22"/>
              </w:rPr>
              <w:t>。</w:t>
            </w:r>
          </w:p>
        </w:tc>
        <w:tc>
          <w:tcPr>
            <w:tcW w:w="2525"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sz w:val="22"/>
              </w:rPr>
              <w:t>2015</w:t>
            </w:r>
            <w:r w:rsidRPr="00D15001">
              <w:rPr>
                <w:rFonts w:ascii="Calibri" w:eastAsia="標楷體" w:hAnsi="Calibri" w:hint="eastAsia"/>
                <w:sz w:val="22"/>
              </w:rPr>
              <w:t>年產業規模達到</w:t>
            </w:r>
            <w:r w:rsidRPr="00D15001">
              <w:rPr>
                <w:rFonts w:ascii="Calibri" w:eastAsia="標楷體" w:hAnsi="Calibri"/>
                <w:sz w:val="22"/>
              </w:rPr>
              <w:t>200</w:t>
            </w:r>
            <w:r w:rsidRPr="00D15001">
              <w:rPr>
                <w:rFonts w:ascii="Calibri" w:eastAsia="標楷體" w:hAnsi="Calibri" w:hint="eastAsia"/>
                <w:sz w:val="22"/>
              </w:rPr>
              <w:t>億元以上，其中機器人及關鍵零組件製造業</w:t>
            </w:r>
            <w:r w:rsidRPr="00D15001">
              <w:rPr>
                <w:rFonts w:ascii="Calibri" w:eastAsia="標楷體" w:hAnsi="Calibri"/>
                <w:sz w:val="22"/>
              </w:rPr>
              <w:t>50</w:t>
            </w:r>
            <w:r w:rsidRPr="00D15001">
              <w:rPr>
                <w:rFonts w:ascii="Calibri" w:eastAsia="標楷體" w:hAnsi="Calibri" w:hint="eastAsia"/>
                <w:sz w:val="22"/>
              </w:rPr>
              <w:t>億元，機器人系統整合及服務業</w:t>
            </w:r>
            <w:r w:rsidRPr="00D15001">
              <w:rPr>
                <w:rFonts w:ascii="Calibri" w:eastAsia="標楷體" w:hAnsi="Calibri"/>
                <w:sz w:val="22"/>
              </w:rPr>
              <w:t>150</w:t>
            </w:r>
            <w:r w:rsidRPr="00D15001">
              <w:rPr>
                <w:rFonts w:ascii="Calibri" w:eastAsia="標楷體" w:hAnsi="Calibri" w:hint="eastAsia"/>
                <w:sz w:val="22"/>
              </w:rPr>
              <w:t>億元。</w:t>
            </w:r>
            <w:r w:rsidRPr="00D15001">
              <w:rPr>
                <w:rFonts w:ascii="Calibri" w:eastAsia="標楷體" w:hAnsi="Calibri"/>
                <w:sz w:val="22"/>
              </w:rPr>
              <w:br/>
              <w:t>2020</w:t>
            </w:r>
            <w:r w:rsidRPr="00D15001">
              <w:rPr>
                <w:rFonts w:ascii="Calibri" w:eastAsia="標楷體" w:hAnsi="Calibri" w:hint="eastAsia"/>
                <w:sz w:val="22"/>
              </w:rPr>
              <w:t>年，上海機器人產業爭取達到</w:t>
            </w:r>
            <w:r w:rsidRPr="00D15001">
              <w:rPr>
                <w:rFonts w:ascii="Calibri" w:eastAsia="標楷體" w:hAnsi="Calibri"/>
                <w:sz w:val="22"/>
              </w:rPr>
              <w:t>600-800</w:t>
            </w:r>
            <w:r w:rsidRPr="00D15001">
              <w:rPr>
                <w:rFonts w:ascii="Calibri" w:eastAsia="標楷體" w:hAnsi="Calibri" w:hint="eastAsia"/>
                <w:sz w:val="22"/>
              </w:rPr>
              <w:t>億元產業規模。</w:t>
            </w:r>
          </w:p>
          <w:p w:rsidR="004163FA" w:rsidRPr="00D15001" w:rsidRDefault="004163FA" w:rsidP="00B014B3">
            <w:pPr>
              <w:snapToGrid w:val="0"/>
              <w:spacing w:before="20" w:after="20"/>
              <w:rPr>
                <w:rFonts w:ascii="Calibri" w:eastAsia="標楷體" w:hAnsi="Calibri"/>
                <w:sz w:val="22"/>
              </w:rPr>
            </w:pPr>
          </w:p>
        </w:tc>
      </w:tr>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浙江</w:t>
            </w:r>
          </w:p>
        </w:tc>
        <w:tc>
          <w:tcPr>
            <w:tcW w:w="1746"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推動工業生產方式由「製造」向「智造」轉變</w:t>
            </w:r>
          </w:p>
        </w:tc>
        <w:tc>
          <w:tcPr>
            <w:tcW w:w="2525"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未來</w:t>
            </w:r>
            <w:r w:rsidRPr="00D15001">
              <w:rPr>
                <w:rFonts w:ascii="Calibri" w:eastAsia="標楷體" w:hAnsi="Calibri"/>
                <w:sz w:val="22"/>
              </w:rPr>
              <w:t>5</w:t>
            </w:r>
            <w:r w:rsidRPr="00D15001">
              <w:rPr>
                <w:rFonts w:ascii="Calibri" w:eastAsia="標楷體" w:hAnsi="Calibri" w:hint="eastAsia"/>
                <w:sz w:val="22"/>
              </w:rPr>
              <w:t>年，每年實施</w:t>
            </w:r>
            <w:r w:rsidRPr="00D15001">
              <w:rPr>
                <w:rFonts w:ascii="Calibri" w:eastAsia="標楷體" w:hAnsi="Calibri"/>
                <w:sz w:val="22"/>
              </w:rPr>
              <w:t>5000</w:t>
            </w:r>
            <w:r w:rsidRPr="00D15001">
              <w:rPr>
                <w:rFonts w:ascii="Calibri" w:eastAsia="標楷體" w:hAnsi="Calibri" w:hint="eastAsia"/>
                <w:sz w:val="22"/>
              </w:rPr>
              <w:t>個機器換人專案，實現</w:t>
            </w:r>
            <w:r w:rsidRPr="00D15001">
              <w:rPr>
                <w:rFonts w:ascii="Calibri" w:eastAsia="標楷體" w:hAnsi="Calibri"/>
                <w:sz w:val="22"/>
              </w:rPr>
              <w:t>5000</w:t>
            </w:r>
            <w:r w:rsidRPr="00D15001">
              <w:rPr>
                <w:rFonts w:ascii="Calibri" w:eastAsia="標楷體" w:hAnsi="Calibri" w:hint="eastAsia"/>
                <w:sz w:val="22"/>
              </w:rPr>
              <w:t>億元機器換人投資</w:t>
            </w:r>
          </w:p>
        </w:tc>
      </w:tr>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江蘇</w:t>
            </w:r>
            <w:r w:rsidRPr="00D15001">
              <w:rPr>
                <w:rFonts w:ascii="Calibri" w:eastAsia="標楷體" w:hAnsi="Calibri"/>
                <w:sz w:val="22"/>
              </w:rPr>
              <w:br/>
            </w:r>
            <w:r w:rsidRPr="00D15001">
              <w:rPr>
                <w:rFonts w:ascii="Calibri" w:eastAsia="標楷體" w:hAnsi="Calibri" w:hint="eastAsia"/>
                <w:sz w:val="22"/>
              </w:rPr>
              <w:t>昆山</w:t>
            </w:r>
          </w:p>
        </w:tc>
        <w:tc>
          <w:tcPr>
            <w:tcW w:w="1746"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sz w:val="22"/>
              </w:rPr>
              <w:t>3-5</w:t>
            </w:r>
            <w:r w:rsidRPr="00D15001">
              <w:rPr>
                <w:rFonts w:ascii="Calibri" w:eastAsia="標楷體" w:hAnsi="Calibri" w:hint="eastAsia"/>
                <w:sz w:val="22"/>
              </w:rPr>
              <w:t>年形成完善的工業機器人產業鏈</w:t>
            </w:r>
            <w:r w:rsidRPr="00D15001">
              <w:rPr>
                <w:rFonts w:ascii="Calibri" w:eastAsia="標楷體" w:hAnsi="Calibri"/>
                <w:sz w:val="22"/>
              </w:rPr>
              <w:t xml:space="preserve"> </w:t>
            </w:r>
          </w:p>
        </w:tc>
        <w:tc>
          <w:tcPr>
            <w:tcW w:w="2525"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b/>
                <w:sz w:val="22"/>
              </w:rPr>
              <w:t>昆山機器人產業基地</w:t>
            </w:r>
            <w:r w:rsidRPr="00D15001">
              <w:rPr>
                <w:rFonts w:ascii="Calibri" w:eastAsia="標楷體" w:hAnsi="Calibri" w:hint="eastAsia"/>
                <w:sz w:val="22"/>
              </w:rPr>
              <w:t>：</w:t>
            </w:r>
            <w:r w:rsidRPr="00D15001">
              <w:rPr>
                <w:rFonts w:ascii="Calibri" w:eastAsia="標楷體" w:hAnsi="Calibri"/>
                <w:sz w:val="22"/>
              </w:rPr>
              <w:t>2012</w:t>
            </w:r>
            <w:r w:rsidRPr="00D15001">
              <w:rPr>
                <w:rFonts w:ascii="Calibri" w:eastAsia="標楷體" w:hAnsi="Calibri" w:hint="eastAsia"/>
                <w:sz w:val="22"/>
              </w:rPr>
              <w:t>年已吸引華恒、吉陽、柯昆、高晟等國內外機器人企業</w:t>
            </w:r>
            <w:r w:rsidRPr="00D15001">
              <w:rPr>
                <w:rFonts w:ascii="Calibri" w:eastAsia="標楷體" w:hAnsi="Calibri"/>
                <w:sz w:val="22"/>
              </w:rPr>
              <w:t>25</w:t>
            </w:r>
            <w:r w:rsidRPr="00D15001">
              <w:rPr>
                <w:rFonts w:ascii="Calibri" w:eastAsia="標楷體" w:hAnsi="Calibri" w:hint="eastAsia"/>
                <w:sz w:val="22"/>
              </w:rPr>
              <w:t>家，</w:t>
            </w:r>
            <w:r w:rsidRPr="00D15001">
              <w:rPr>
                <w:rFonts w:ascii="Calibri" w:eastAsia="標楷體" w:hAnsi="Calibri"/>
                <w:sz w:val="22"/>
              </w:rPr>
              <w:t>2015</w:t>
            </w:r>
            <w:r w:rsidRPr="00D15001">
              <w:rPr>
                <w:rFonts w:ascii="Calibri" w:eastAsia="標楷體" w:hAnsi="Calibri" w:hint="eastAsia"/>
                <w:sz w:val="22"/>
              </w:rPr>
              <w:t>年實現產值</w:t>
            </w:r>
            <w:r w:rsidRPr="00D15001">
              <w:rPr>
                <w:rFonts w:ascii="Calibri" w:eastAsia="標楷體" w:hAnsi="Calibri"/>
                <w:sz w:val="22"/>
              </w:rPr>
              <w:t>500</w:t>
            </w:r>
            <w:r w:rsidRPr="00D15001">
              <w:rPr>
                <w:rFonts w:ascii="Calibri" w:eastAsia="標楷體" w:hAnsi="Calibri" w:hint="eastAsia"/>
                <w:sz w:val="22"/>
              </w:rPr>
              <w:t>億元。</w:t>
            </w:r>
          </w:p>
        </w:tc>
      </w:tr>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江蘇</w:t>
            </w:r>
            <w:r w:rsidRPr="00D15001">
              <w:rPr>
                <w:rFonts w:ascii="Calibri" w:eastAsia="標楷體" w:hAnsi="Calibri"/>
                <w:sz w:val="22"/>
              </w:rPr>
              <w:br/>
            </w:r>
            <w:r w:rsidRPr="00D15001">
              <w:rPr>
                <w:rFonts w:ascii="Calibri" w:eastAsia="標楷體" w:hAnsi="Calibri" w:hint="eastAsia"/>
                <w:sz w:val="22"/>
              </w:rPr>
              <w:t>張家港</w:t>
            </w:r>
          </w:p>
        </w:tc>
        <w:tc>
          <w:tcPr>
            <w:tcW w:w="1746"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大力規劃發展機器人產業園，打造「四機三核一平臺」</w:t>
            </w:r>
          </w:p>
        </w:tc>
        <w:tc>
          <w:tcPr>
            <w:tcW w:w="2525"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sz w:val="22"/>
              </w:rPr>
              <w:t>2016</w:t>
            </w:r>
            <w:r w:rsidRPr="00D15001">
              <w:rPr>
                <w:rFonts w:ascii="Calibri" w:eastAsia="標楷體" w:hAnsi="Calibri" w:hint="eastAsia"/>
                <w:sz w:val="22"/>
              </w:rPr>
              <w:t>年形成完備的機器人產業體系，年銷售規模達到</w:t>
            </w:r>
            <w:r w:rsidRPr="00D15001">
              <w:rPr>
                <w:rFonts w:ascii="Calibri" w:eastAsia="標楷體" w:hAnsi="Calibri"/>
                <w:sz w:val="22"/>
              </w:rPr>
              <w:t>60</w:t>
            </w:r>
            <w:r w:rsidRPr="00D15001">
              <w:rPr>
                <w:rFonts w:ascii="Calibri" w:eastAsia="標楷體" w:hAnsi="Calibri" w:hint="eastAsia"/>
                <w:sz w:val="22"/>
              </w:rPr>
              <w:t>億元。</w:t>
            </w:r>
          </w:p>
        </w:tc>
      </w:tr>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江蘇</w:t>
            </w:r>
            <w:r w:rsidRPr="00D15001">
              <w:rPr>
                <w:rFonts w:ascii="Calibri" w:eastAsia="標楷體" w:hAnsi="Calibri"/>
                <w:sz w:val="22"/>
              </w:rPr>
              <w:br/>
            </w:r>
            <w:r w:rsidRPr="00D15001">
              <w:rPr>
                <w:rFonts w:ascii="Calibri" w:eastAsia="標楷體" w:hAnsi="Calibri" w:hint="eastAsia"/>
                <w:sz w:val="22"/>
              </w:rPr>
              <w:t>常州</w:t>
            </w:r>
            <w:r w:rsidRPr="00D15001">
              <w:rPr>
                <w:rFonts w:ascii="Calibri" w:eastAsia="標楷體" w:hAnsi="Calibri"/>
                <w:sz w:val="22"/>
              </w:rPr>
              <w:t xml:space="preserve"> </w:t>
            </w:r>
          </w:p>
        </w:tc>
        <w:tc>
          <w:tcPr>
            <w:tcW w:w="1746"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打造智慧裝備及機器人產業園</w:t>
            </w:r>
            <w:r w:rsidRPr="00D15001">
              <w:rPr>
                <w:rFonts w:ascii="Calibri" w:eastAsia="標楷體" w:hAnsi="Calibri"/>
                <w:sz w:val="22"/>
              </w:rPr>
              <w:t xml:space="preserve"> </w:t>
            </w:r>
          </w:p>
        </w:tc>
        <w:tc>
          <w:tcPr>
            <w:tcW w:w="2525"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sz w:val="22"/>
              </w:rPr>
              <w:t>2015</w:t>
            </w:r>
            <w:r w:rsidRPr="00D15001">
              <w:rPr>
                <w:rFonts w:ascii="Calibri" w:eastAsia="標楷體" w:hAnsi="Calibri" w:hint="eastAsia"/>
                <w:sz w:val="22"/>
              </w:rPr>
              <w:t>年，武進智慧裝備及機器人產業園將實現年銷售收入</w:t>
            </w:r>
            <w:r w:rsidRPr="00D15001">
              <w:rPr>
                <w:rFonts w:ascii="Calibri" w:eastAsia="標楷體" w:hAnsi="Calibri"/>
                <w:sz w:val="22"/>
              </w:rPr>
              <w:t>450</w:t>
            </w:r>
            <w:r w:rsidRPr="00D15001">
              <w:rPr>
                <w:rFonts w:ascii="Calibri" w:eastAsia="標楷體" w:hAnsi="Calibri" w:hint="eastAsia"/>
                <w:sz w:val="22"/>
              </w:rPr>
              <w:t>億元，培育超</w:t>
            </w:r>
            <w:r w:rsidRPr="00D15001">
              <w:rPr>
                <w:rFonts w:ascii="Calibri" w:eastAsia="標楷體" w:hAnsi="Calibri"/>
                <w:sz w:val="22"/>
              </w:rPr>
              <w:t>50</w:t>
            </w:r>
            <w:r w:rsidRPr="00D15001">
              <w:rPr>
                <w:rFonts w:ascii="Calibri" w:eastAsia="標楷體" w:hAnsi="Calibri" w:hint="eastAsia"/>
                <w:sz w:val="22"/>
              </w:rPr>
              <w:t>億元的企業</w:t>
            </w:r>
            <w:r w:rsidRPr="00D15001">
              <w:rPr>
                <w:rFonts w:ascii="Calibri" w:eastAsia="標楷體" w:hAnsi="Calibri"/>
                <w:sz w:val="22"/>
              </w:rPr>
              <w:t>3</w:t>
            </w:r>
            <w:r w:rsidRPr="00D15001">
              <w:rPr>
                <w:rFonts w:ascii="Calibri" w:eastAsia="標楷體" w:hAnsi="Calibri" w:hint="eastAsia"/>
                <w:sz w:val="22"/>
              </w:rPr>
              <w:t>家以上，超</w:t>
            </w:r>
            <w:r w:rsidRPr="00D15001">
              <w:rPr>
                <w:rFonts w:ascii="Calibri" w:eastAsia="標楷體" w:hAnsi="Calibri"/>
                <w:sz w:val="22"/>
              </w:rPr>
              <w:t>100</w:t>
            </w:r>
            <w:r w:rsidRPr="00D15001">
              <w:rPr>
                <w:rFonts w:ascii="Calibri" w:eastAsia="標楷體" w:hAnsi="Calibri" w:hint="eastAsia"/>
                <w:sz w:val="22"/>
              </w:rPr>
              <w:t>億元的企業</w:t>
            </w:r>
            <w:r w:rsidRPr="00D15001">
              <w:rPr>
                <w:rFonts w:ascii="Calibri" w:eastAsia="標楷體" w:hAnsi="Calibri"/>
                <w:sz w:val="22"/>
              </w:rPr>
              <w:t>2</w:t>
            </w:r>
            <w:r w:rsidRPr="00D15001">
              <w:rPr>
                <w:rFonts w:ascii="Calibri" w:eastAsia="標楷體" w:hAnsi="Calibri" w:hint="eastAsia"/>
                <w:sz w:val="22"/>
              </w:rPr>
              <w:t>家以上，成為國內外知名的智慧裝備及機器人產業基地。</w:t>
            </w:r>
          </w:p>
        </w:tc>
      </w:tr>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重慶</w:t>
            </w:r>
            <w:r w:rsidRPr="00D15001">
              <w:rPr>
                <w:rFonts w:ascii="Calibri" w:eastAsia="標楷體" w:hAnsi="Calibri"/>
                <w:sz w:val="22"/>
              </w:rPr>
              <w:t xml:space="preserve"> </w:t>
            </w:r>
          </w:p>
        </w:tc>
        <w:tc>
          <w:tcPr>
            <w:tcW w:w="1746"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「一基地三功能區」：重慶市機器人產業基地，兩江新區工業機器人及配套功能區、江津雙福工業園區服務機器人功能區以及璧山工業園區特種機器人功能區</w:t>
            </w:r>
          </w:p>
        </w:tc>
        <w:tc>
          <w:tcPr>
            <w:tcW w:w="2525"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sz w:val="22"/>
              </w:rPr>
              <w:t>2015</w:t>
            </w:r>
            <w:r w:rsidRPr="00D15001">
              <w:rPr>
                <w:rFonts w:ascii="Calibri" w:eastAsia="標楷體" w:hAnsi="Calibri" w:hint="eastAsia"/>
                <w:sz w:val="22"/>
              </w:rPr>
              <w:t>年全市機器人產業銷售收入達到</w:t>
            </w:r>
            <w:r w:rsidRPr="00D15001">
              <w:rPr>
                <w:rFonts w:ascii="Calibri" w:eastAsia="標楷體" w:hAnsi="Calibri"/>
                <w:sz w:val="22"/>
              </w:rPr>
              <w:t>300</w:t>
            </w:r>
            <w:r w:rsidRPr="00D15001">
              <w:rPr>
                <w:rFonts w:ascii="Calibri" w:eastAsia="標楷體" w:hAnsi="Calibri" w:hint="eastAsia"/>
                <w:sz w:val="22"/>
              </w:rPr>
              <w:t>億元。</w:t>
            </w:r>
            <w:r w:rsidRPr="00D15001">
              <w:rPr>
                <w:rFonts w:ascii="Calibri" w:eastAsia="標楷體" w:hAnsi="Calibri"/>
                <w:sz w:val="22"/>
              </w:rPr>
              <w:br/>
              <w:t>2020</w:t>
            </w:r>
            <w:r w:rsidRPr="00D15001">
              <w:rPr>
                <w:rFonts w:ascii="Calibri" w:eastAsia="標楷體" w:hAnsi="Calibri" w:hint="eastAsia"/>
                <w:sz w:val="22"/>
              </w:rPr>
              <w:t>年達到</w:t>
            </w:r>
            <w:r w:rsidRPr="00D15001">
              <w:rPr>
                <w:rFonts w:ascii="Calibri" w:eastAsia="標楷體" w:hAnsi="Calibri"/>
                <w:sz w:val="22"/>
              </w:rPr>
              <w:t>1000</w:t>
            </w:r>
            <w:r w:rsidRPr="00D15001">
              <w:rPr>
                <w:rFonts w:ascii="Calibri" w:eastAsia="標楷體" w:hAnsi="Calibri" w:hint="eastAsia"/>
                <w:sz w:val="22"/>
              </w:rPr>
              <w:t>億元，形成完善的研發、測試、製造體系，成為具有全球影響力的機器人產業基地，成為新的支柱產業。</w:t>
            </w:r>
          </w:p>
        </w:tc>
      </w:tr>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安徽</w:t>
            </w:r>
            <w:r w:rsidRPr="00D15001">
              <w:rPr>
                <w:rFonts w:ascii="Calibri" w:eastAsia="標楷體" w:hAnsi="Calibri"/>
                <w:sz w:val="22"/>
              </w:rPr>
              <w:t xml:space="preserve"> </w:t>
            </w:r>
          </w:p>
        </w:tc>
        <w:tc>
          <w:tcPr>
            <w:tcW w:w="1746"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安徽戰略性新興產業區域（機器人）</w:t>
            </w:r>
          </w:p>
        </w:tc>
        <w:tc>
          <w:tcPr>
            <w:tcW w:w="2525"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sz w:val="22"/>
              </w:rPr>
              <w:t>2015</w:t>
            </w:r>
            <w:r w:rsidRPr="00D15001">
              <w:rPr>
                <w:rFonts w:ascii="Calibri" w:eastAsia="標楷體" w:hAnsi="Calibri" w:hint="eastAsia"/>
                <w:sz w:val="22"/>
              </w:rPr>
              <w:t>年培育</w:t>
            </w:r>
            <w:r w:rsidRPr="00D15001">
              <w:rPr>
                <w:rFonts w:ascii="Calibri" w:eastAsia="標楷體" w:hAnsi="Calibri"/>
                <w:sz w:val="22"/>
              </w:rPr>
              <w:t>3</w:t>
            </w:r>
            <w:r w:rsidRPr="00D15001">
              <w:rPr>
                <w:rFonts w:ascii="Calibri" w:eastAsia="標楷體" w:hAnsi="Calibri" w:hint="eastAsia"/>
                <w:sz w:val="22"/>
              </w:rPr>
              <w:t>家至</w:t>
            </w:r>
            <w:r w:rsidRPr="00D15001">
              <w:rPr>
                <w:rFonts w:ascii="Calibri" w:eastAsia="標楷體" w:hAnsi="Calibri"/>
                <w:sz w:val="22"/>
              </w:rPr>
              <w:t>5</w:t>
            </w:r>
            <w:r w:rsidRPr="00D15001">
              <w:rPr>
                <w:rFonts w:ascii="Calibri" w:eastAsia="標楷體" w:hAnsi="Calibri" w:hint="eastAsia"/>
                <w:sz w:val="22"/>
              </w:rPr>
              <w:t>家產值超</w:t>
            </w:r>
            <w:r w:rsidRPr="00D15001">
              <w:rPr>
                <w:rFonts w:ascii="Calibri" w:eastAsia="標楷體" w:hAnsi="Calibri"/>
                <w:sz w:val="22"/>
              </w:rPr>
              <w:t>50</w:t>
            </w:r>
            <w:r w:rsidRPr="00D15001">
              <w:rPr>
                <w:rFonts w:ascii="Calibri" w:eastAsia="標楷體" w:hAnsi="Calibri" w:hint="eastAsia"/>
                <w:sz w:val="22"/>
              </w:rPr>
              <w:t>億元的領軍企業，形成具有國際競爭力的機器人產業集聚區。</w:t>
            </w:r>
          </w:p>
        </w:tc>
      </w:tr>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福建</w:t>
            </w:r>
            <w:r w:rsidRPr="00D15001">
              <w:rPr>
                <w:rFonts w:ascii="Calibri" w:eastAsia="標楷體" w:hAnsi="Calibri"/>
                <w:sz w:val="22"/>
              </w:rPr>
              <w:t xml:space="preserve"> </w:t>
            </w:r>
          </w:p>
        </w:tc>
        <w:tc>
          <w:tcPr>
            <w:tcW w:w="1746"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推動機器人、智慧化儀器儀錶等產業發展</w:t>
            </w:r>
          </w:p>
        </w:tc>
        <w:tc>
          <w:tcPr>
            <w:tcW w:w="2525"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sz w:val="22"/>
              </w:rPr>
              <w:t>2015</w:t>
            </w:r>
            <w:r w:rsidRPr="00D15001">
              <w:rPr>
                <w:rFonts w:ascii="Calibri" w:eastAsia="標楷體" w:hAnsi="Calibri" w:hint="eastAsia"/>
                <w:sz w:val="22"/>
              </w:rPr>
              <w:t>年培育一批年產值超億元企業，</w:t>
            </w:r>
            <w:r w:rsidRPr="00D15001">
              <w:rPr>
                <w:rFonts w:ascii="Calibri" w:eastAsia="標楷體" w:hAnsi="Calibri"/>
                <w:sz w:val="22"/>
              </w:rPr>
              <w:t>2</w:t>
            </w:r>
            <w:r w:rsidRPr="00D15001">
              <w:rPr>
                <w:rFonts w:ascii="Calibri" w:eastAsia="標楷體" w:hAnsi="Calibri" w:hint="eastAsia"/>
                <w:sz w:val="22"/>
              </w:rPr>
              <w:t>個產業化示範基地。</w:t>
            </w:r>
            <w:r w:rsidRPr="00D15001">
              <w:rPr>
                <w:rFonts w:ascii="Calibri" w:eastAsia="標楷體" w:hAnsi="Calibri"/>
                <w:sz w:val="22"/>
              </w:rPr>
              <w:br/>
              <w:t>2020</w:t>
            </w:r>
            <w:r w:rsidRPr="00D15001">
              <w:rPr>
                <w:rFonts w:ascii="Calibri" w:eastAsia="標楷體" w:hAnsi="Calibri" w:hint="eastAsia"/>
                <w:sz w:val="22"/>
              </w:rPr>
              <w:t>年在機器人、自動化儀錶等行業形成產業鏈和研發體系，培育一批年產值超</w:t>
            </w:r>
            <w:r w:rsidRPr="00D15001">
              <w:rPr>
                <w:rFonts w:ascii="Calibri" w:eastAsia="標楷體" w:hAnsi="Calibri"/>
                <w:sz w:val="22"/>
              </w:rPr>
              <w:t>10</w:t>
            </w:r>
            <w:r w:rsidRPr="00D15001">
              <w:rPr>
                <w:rFonts w:ascii="Calibri" w:eastAsia="標楷體" w:hAnsi="Calibri" w:hint="eastAsia"/>
                <w:sz w:val="22"/>
              </w:rPr>
              <w:t>億元企業，建</w:t>
            </w:r>
            <w:r w:rsidRPr="00D15001">
              <w:rPr>
                <w:rFonts w:ascii="Calibri" w:eastAsia="標楷體" w:hAnsi="Calibri"/>
                <w:sz w:val="22"/>
              </w:rPr>
              <w:t>5</w:t>
            </w:r>
            <w:r w:rsidRPr="00D15001">
              <w:rPr>
                <w:rFonts w:ascii="Calibri" w:eastAsia="標楷體" w:hAnsi="Calibri" w:hint="eastAsia"/>
                <w:sz w:val="22"/>
              </w:rPr>
              <w:t>個產業化示範基地。</w:t>
            </w:r>
          </w:p>
        </w:tc>
      </w:tr>
      <w:tr w:rsidR="004163FA" w:rsidRPr="00D15001" w:rsidTr="00B014B3">
        <w:trPr>
          <w:jc w:val="center"/>
        </w:trPr>
        <w:tc>
          <w:tcPr>
            <w:tcW w:w="729" w:type="pct"/>
            <w:shd w:val="clear" w:color="auto" w:fill="auto"/>
            <w:vAlign w:val="center"/>
          </w:tcPr>
          <w:p w:rsidR="004163FA" w:rsidRPr="00D15001" w:rsidRDefault="004163FA" w:rsidP="00B014B3">
            <w:pPr>
              <w:snapToGrid w:val="0"/>
              <w:spacing w:before="20" w:after="20"/>
              <w:jc w:val="center"/>
              <w:rPr>
                <w:rFonts w:ascii="Calibri" w:eastAsia="標楷體" w:hAnsi="Calibri"/>
                <w:sz w:val="22"/>
              </w:rPr>
            </w:pPr>
            <w:r w:rsidRPr="00D15001">
              <w:rPr>
                <w:rFonts w:ascii="Calibri" w:eastAsia="標楷體" w:hAnsi="Calibri" w:hint="eastAsia"/>
                <w:sz w:val="22"/>
              </w:rPr>
              <w:t>山東</w:t>
            </w:r>
            <w:r w:rsidRPr="00D15001">
              <w:rPr>
                <w:rFonts w:ascii="Calibri" w:eastAsia="標楷體" w:hAnsi="Calibri"/>
                <w:sz w:val="22"/>
              </w:rPr>
              <w:br/>
            </w:r>
            <w:r w:rsidRPr="00D15001">
              <w:rPr>
                <w:rFonts w:ascii="Calibri" w:eastAsia="標楷體" w:hAnsi="Calibri" w:hint="eastAsia"/>
                <w:sz w:val="22"/>
              </w:rPr>
              <w:t>青島</w:t>
            </w:r>
            <w:r w:rsidRPr="00D15001">
              <w:rPr>
                <w:rFonts w:ascii="Calibri" w:eastAsia="標楷體" w:hAnsi="Calibri"/>
                <w:sz w:val="22"/>
              </w:rPr>
              <w:t xml:space="preserve"> </w:t>
            </w:r>
          </w:p>
        </w:tc>
        <w:tc>
          <w:tcPr>
            <w:tcW w:w="1746"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依託產業聯盟，規劃建設近</w:t>
            </w:r>
            <w:r w:rsidRPr="00D15001">
              <w:rPr>
                <w:rFonts w:ascii="Calibri" w:eastAsia="標楷體" w:hAnsi="Calibri"/>
                <w:sz w:val="22"/>
              </w:rPr>
              <w:t>1000</w:t>
            </w:r>
            <w:r w:rsidRPr="00D15001">
              <w:rPr>
                <w:rFonts w:ascii="Calibri" w:eastAsia="標楷體" w:hAnsi="Calibri" w:hint="eastAsia"/>
                <w:sz w:val="22"/>
              </w:rPr>
              <w:t>畝的機器人產業園</w:t>
            </w:r>
          </w:p>
        </w:tc>
        <w:tc>
          <w:tcPr>
            <w:tcW w:w="2525" w:type="pct"/>
            <w:shd w:val="clear" w:color="auto" w:fill="auto"/>
            <w:vAlign w:val="center"/>
          </w:tcPr>
          <w:p w:rsidR="004163FA" w:rsidRPr="00D15001" w:rsidRDefault="004163FA" w:rsidP="00B014B3">
            <w:pPr>
              <w:snapToGrid w:val="0"/>
              <w:spacing w:before="20" w:after="20"/>
              <w:rPr>
                <w:rFonts w:ascii="Calibri" w:eastAsia="標楷體" w:hAnsi="Calibri"/>
                <w:sz w:val="22"/>
              </w:rPr>
            </w:pPr>
            <w:r w:rsidRPr="00D15001">
              <w:rPr>
                <w:rFonts w:ascii="Calibri" w:eastAsia="標楷體" w:hAnsi="Calibri" w:hint="eastAsia"/>
                <w:sz w:val="22"/>
              </w:rPr>
              <w:t>用</w:t>
            </w:r>
            <w:r w:rsidRPr="00D15001">
              <w:rPr>
                <w:rFonts w:ascii="Calibri" w:eastAsia="標楷體" w:hAnsi="Calibri"/>
                <w:sz w:val="22"/>
              </w:rPr>
              <w:t>3</w:t>
            </w:r>
            <w:r w:rsidRPr="00D15001">
              <w:rPr>
                <w:rFonts w:ascii="Calibri" w:eastAsia="標楷體" w:hAnsi="Calibri" w:hint="eastAsia"/>
                <w:sz w:val="22"/>
              </w:rPr>
              <w:t>年時間將機器人產業園建設成為國家新型工業化示範基地</w:t>
            </w:r>
          </w:p>
        </w:tc>
      </w:tr>
    </w:tbl>
    <w:p w:rsidR="004163FA" w:rsidRPr="004373BA" w:rsidRDefault="004163FA" w:rsidP="004373BA">
      <w:pPr>
        <w:rPr>
          <w:rFonts w:eastAsia="標楷體"/>
          <w:sz w:val="20"/>
        </w:rPr>
      </w:pPr>
      <w:r w:rsidRPr="00D15001">
        <w:rPr>
          <w:rFonts w:eastAsia="標楷體" w:hint="eastAsia"/>
          <w:sz w:val="20"/>
        </w:rPr>
        <w:t>資料來源：肯卓市場研究「</w:t>
      </w:r>
      <w:r w:rsidRPr="00D15001">
        <w:rPr>
          <w:rFonts w:eastAsia="標楷體"/>
          <w:sz w:val="20"/>
        </w:rPr>
        <w:t xml:space="preserve">2013 </w:t>
      </w:r>
      <w:r w:rsidRPr="00D15001">
        <w:rPr>
          <w:rFonts w:eastAsia="標楷體" w:hint="eastAsia"/>
          <w:sz w:val="20"/>
        </w:rPr>
        <w:t>年中國機器人產業市場動態研究報告」、本研究整理。</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若從自動化產業鏈來看，分為上游零組件、中游設備製造、下游系統整合應用。在上游零組件方面，包含伺服電機、控制器和減速機三大關鍵零組件，中國大陸在控制器已有自製能力，相關企業有固高、眾為興、埃斯頓和廣州數控，科研單位有哈爾濱工業大學和北京航空航天大學等。伺</w:t>
      </w:r>
      <w:r w:rsidRPr="00D15001">
        <w:rPr>
          <w:rFonts w:eastAsia="標楷體" w:hint="eastAsia"/>
          <w:sz w:val="26"/>
        </w:rPr>
        <w:lastRenderedPageBreak/>
        <w:t>服電機則約</w:t>
      </w:r>
      <w:r w:rsidRPr="00D15001">
        <w:rPr>
          <w:rFonts w:eastAsia="標楷體"/>
          <w:sz w:val="26"/>
        </w:rPr>
        <w:t>45%</w:t>
      </w:r>
      <w:r w:rsidRPr="00D15001">
        <w:rPr>
          <w:rFonts w:eastAsia="標楷體" w:hint="eastAsia"/>
          <w:sz w:val="26"/>
        </w:rPr>
        <w:t>自日本進口、</w:t>
      </w:r>
      <w:r w:rsidRPr="00D15001">
        <w:rPr>
          <w:rFonts w:eastAsia="標楷體"/>
          <w:sz w:val="26"/>
        </w:rPr>
        <w:t>30%</w:t>
      </w:r>
      <w:r w:rsidRPr="00D15001">
        <w:rPr>
          <w:rFonts w:eastAsia="標楷體" w:hint="eastAsia"/>
          <w:sz w:val="26"/>
        </w:rPr>
        <w:t>自歐美進口、</w:t>
      </w:r>
      <w:r w:rsidRPr="00D15001">
        <w:rPr>
          <w:rFonts w:eastAsia="標楷體"/>
          <w:sz w:val="26"/>
        </w:rPr>
        <w:t>15%</w:t>
      </w:r>
      <w:r w:rsidRPr="00D15001">
        <w:rPr>
          <w:rFonts w:eastAsia="標楷體" w:hint="eastAsia"/>
          <w:sz w:val="26"/>
        </w:rPr>
        <w:t>自臺灣和韓國進口，技術差距在於動態性能、開放性和可靠性，未來發展方向可能以海外併購方式取得技術。減速機是關鍵零組件中利潤空間最大者，</w:t>
      </w:r>
      <w:r w:rsidRPr="00D15001">
        <w:rPr>
          <w:rFonts w:eastAsia="標楷體"/>
          <w:sz w:val="26"/>
        </w:rPr>
        <w:t>75%</w:t>
      </w:r>
      <w:r w:rsidRPr="00D15001">
        <w:rPr>
          <w:rFonts w:eastAsia="標楷體" w:hint="eastAsia"/>
          <w:sz w:val="26"/>
        </w:rPr>
        <w:t>由日本</w:t>
      </w:r>
      <w:r w:rsidRPr="00D15001">
        <w:rPr>
          <w:rFonts w:eastAsia="標楷體"/>
          <w:sz w:val="26"/>
        </w:rPr>
        <w:t>Nabtesco</w:t>
      </w:r>
      <w:r w:rsidRPr="00D15001">
        <w:rPr>
          <w:rFonts w:eastAsia="標楷體" w:hint="eastAsia"/>
          <w:sz w:val="26"/>
        </w:rPr>
        <w:t>和</w:t>
      </w:r>
      <w:r w:rsidRPr="00D15001">
        <w:rPr>
          <w:rFonts w:eastAsia="標楷體"/>
          <w:sz w:val="26"/>
        </w:rPr>
        <w:t>Harmonic</w:t>
      </w:r>
      <w:r w:rsidRPr="00D15001">
        <w:rPr>
          <w:rFonts w:eastAsia="標楷體" w:hint="eastAsia"/>
          <w:sz w:val="26"/>
        </w:rPr>
        <w:t>所壟斷，自製差距在於成本高且品質差，是目前中國大陸國產化關鍵，未來將持續投入諧和式減速機的自主研發。</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在中游設備製造方面，以工業機器人為例，</w:t>
      </w:r>
      <w:r w:rsidRPr="00D15001">
        <w:rPr>
          <w:rFonts w:eastAsia="標楷體"/>
          <w:sz w:val="26"/>
        </w:rPr>
        <w:t>2012</w:t>
      </w:r>
      <w:r w:rsidRPr="00D15001">
        <w:rPr>
          <w:rFonts w:eastAsia="標楷體" w:hint="eastAsia"/>
          <w:sz w:val="26"/>
        </w:rPr>
        <w:t>年中國大陸企業占其國內工業機器人銷售總額僅約</w:t>
      </w:r>
      <w:r w:rsidRPr="00D15001">
        <w:rPr>
          <w:rFonts w:eastAsia="標楷體"/>
          <w:sz w:val="26"/>
        </w:rPr>
        <w:t>10%</w:t>
      </w:r>
      <w:r w:rsidRPr="00D15001">
        <w:rPr>
          <w:rFonts w:eastAsia="標楷體" w:hint="eastAsia"/>
          <w:sz w:val="26"/>
        </w:rPr>
        <w:t>，外資和合資企業市占率高達</w:t>
      </w:r>
      <w:r w:rsidRPr="00D15001">
        <w:rPr>
          <w:rFonts w:eastAsia="標楷體"/>
          <w:sz w:val="26"/>
        </w:rPr>
        <w:t>90%</w:t>
      </w:r>
      <w:r w:rsidRPr="00D15001">
        <w:rPr>
          <w:rFonts w:eastAsia="標楷體" w:hint="eastAsia"/>
          <w:sz w:val="26"/>
        </w:rPr>
        <w:t>，而全球工業機器人四大企業－日本</w:t>
      </w:r>
      <w:r w:rsidRPr="00D15001">
        <w:rPr>
          <w:rFonts w:eastAsia="標楷體"/>
          <w:sz w:val="26"/>
        </w:rPr>
        <w:t>Fanuc</w:t>
      </w:r>
      <w:r w:rsidRPr="00D15001">
        <w:rPr>
          <w:rFonts w:eastAsia="標楷體" w:hint="eastAsia"/>
          <w:sz w:val="26"/>
        </w:rPr>
        <w:t>、安川電機、德國</w:t>
      </w:r>
      <w:r w:rsidRPr="00D15001">
        <w:rPr>
          <w:rFonts w:eastAsia="標楷體"/>
          <w:sz w:val="26"/>
        </w:rPr>
        <w:t>KUKA</w:t>
      </w:r>
      <w:r w:rsidRPr="00D15001">
        <w:rPr>
          <w:rFonts w:eastAsia="標楷體" w:hint="eastAsia"/>
          <w:sz w:val="26"/>
        </w:rPr>
        <w:t>和瑞士</w:t>
      </w:r>
      <w:r w:rsidRPr="00D15001">
        <w:rPr>
          <w:rFonts w:eastAsia="標楷體"/>
          <w:sz w:val="26"/>
        </w:rPr>
        <w:t>ABB</w:t>
      </w:r>
      <w:r w:rsidRPr="00D15001">
        <w:rPr>
          <w:rFonts w:eastAsia="標楷體" w:hint="eastAsia"/>
          <w:sz w:val="26"/>
        </w:rPr>
        <w:t>的市占率就達五六成。目前中國大陸十大工業機器人企業分別為智慧裝備有限公司、京配天大富精密機械、北京時代科技、成都佳士科、廣州數控設備、嘉興瑞宏精密機械、南京埃斯頓機器人工程、南京熊貓電子、上海新時達電氣、瀋陽新松機器人自動化。未來可能以小型工業機器人發展較快，大型工業機器人受限於減速機的技術突破，仍需較長的時間發展。</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下游系統整合應用方面，中國大陸自動化產業之業者有九成集中於下游系統整合應用，主要從國外或外資企業採購設備和工業機器人，專門替客戶設計自動化解決方案，以及提供售後服務為主。由於技術研發需要投入龐大的人力、物力和時間，一般企業都傾向於從事應用端業務，較能短期內賺取利潤，但也因此在設備和技術上長期受制於人。</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整體而言，中國大陸自動化產業一直以來都以政府支持的科研單位為主體，像是研發重鎮－東北地區的瀋陽自動化研究所和哈爾濱工業大學，以及北京機械工業自動化研究所、北京航空航天大學等。科研單位成立時間較久，具有一定的技術能量；而地方產業園則是因應近年來之自動化潮流而成立，相對技術能量較薄弱，但亦顯示出其未來發展的企圖。</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以瀋陽自動化研究所為例，為中國大陸第一個機器人研發機構，目前是機器人技術國家工程研究中心、先進製造基地、國家</w:t>
      </w:r>
      <w:r w:rsidRPr="00D15001">
        <w:rPr>
          <w:rFonts w:eastAsia="標楷體"/>
          <w:sz w:val="26"/>
        </w:rPr>
        <w:t>863</w:t>
      </w:r>
      <w:r w:rsidRPr="00D15001">
        <w:rPr>
          <w:rFonts w:eastAsia="標楷體" w:hint="eastAsia"/>
          <w:sz w:val="26"/>
        </w:rPr>
        <w:t>計畫成果產業</w:t>
      </w:r>
      <w:r w:rsidRPr="00D15001">
        <w:rPr>
          <w:rFonts w:eastAsia="標楷體" w:hint="eastAsia"/>
          <w:sz w:val="26"/>
        </w:rPr>
        <w:lastRenderedPageBreak/>
        <w:t>化基地。而新松機器人公司即是以瀋陽自動化研究所之技術能量為支撐，成為中國大陸自動化技術產業化的重要領導企業。其是中國大陸第一家上市機器人公司，也是根據國際機器人聯盟（</w:t>
      </w:r>
      <w:r w:rsidRPr="00D15001">
        <w:rPr>
          <w:rFonts w:eastAsia="標楷體"/>
          <w:sz w:val="26"/>
        </w:rPr>
        <w:t>International Federation of Robotics , IFR</w:t>
      </w:r>
      <w:r w:rsidRPr="00D15001">
        <w:rPr>
          <w:rFonts w:eastAsia="標楷體" w:hint="eastAsia"/>
          <w:sz w:val="26"/>
        </w:rPr>
        <w:t>）統計中國大陸工業機器人市場銷售量，唯一排名前十的中國大陸企業。</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值得注意的是，</w:t>
      </w:r>
      <w:r w:rsidRPr="00D15001">
        <w:rPr>
          <w:rFonts w:eastAsia="標楷體"/>
          <w:sz w:val="26"/>
        </w:rPr>
        <w:t>2013</w:t>
      </w:r>
      <w:r w:rsidRPr="00D15001">
        <w:rPr>
          <w:rFonts w:eastAsia="標楷體" w:hint="eastAsia"/>
          <w:sz w:val="26"/>
        </w:rPr>
        <w:t>年</w:t>
      </w:r>
      <w:r w:rsidRPr="00D15001">
        <w:rPr>
          <w:rFonts w:eastAsia="標楷體"/>
          <w:sz w:val="26"/>
        </w:rPr>
        <w:t>4</w:t>
      </w:r>
      <w:r w:rsidRPr="00D15001">
        <w:rPr>
          <w:rFonts w:eastAsia="標楷體" w:hint="eastAsia"/>
          <w:sz w:val="26"/>
        </w:rPr>
        <w:t>月由中國機械工業聯合會帶頭，於北京成立中國機器人產業聯盟，為一個全國性產、學、研、用的行業合作平臺，集結科技研發、生產製造、應用服務為一體的非營利性組織。產業聯盟目前共有</w:t>
      </w:r>
      <w:r w:rsidRPr="00D15001">
        <w:rPr>
          <w:rFonts w:eastAsia="標楷體"/>
          <w:sz w:val="26"/>
        </w:rPr>
        <w:t>80</w:t>
      </w:r>
      <w:r w:rsidRPr="00D15001">
        <w:rPr>
          <w:rFonts w:eastAsia="標楷體" w:hint="eastAsia"/>
          <w:sz w:val="26"/>
        </w:rPr>
        <w:t>餘家成員單位，覆蓋目前中國大陸機器人產業鏈主要企業單位及研究機構等。</w:t>
      </w:r>
      <w:r w:rsidRPr="00D15001">
        <w:rPr>
          <w:rFonts w:eastAsia="標楷體"/>
          <w:sz w:val="26"/>
        </w:rPr>
        <w:t>2014</w:t>
      </w:r>
      <w:r w:rsidRPr="00D15001">
        <w:rPr>
          <w:rFonts w:eastAsia="標楷體" w:hint="eastAsia"/>
          <w:sz w:val="26"/>
        </w:rPr>
        <w:t>年</w:t>
      </w:r>
      <w:r w:rsidRPr="00D15001">
        <w:rPr>
          <w:rFonts w:eastAsia="標楷體"/>
          <w:sz w:val="26"/>
        </w:rPr>
        <w:t>4</w:t>
      </w:r>
      <w:r w:rsidRPr="00D15001">
        <w:rPr>
          <w:rFonts w:eastAsia="標楷體" w:hint="eastAsia"/>
          <w:sz w:val="26"/>
        </w:rPr>
        <w:t>月正式成為</w:t>
      </w:r>
      <w:r w:rsidRPr="00D15001">
        <w:rPr>
          <w:rFonts w:eastAsia="標楷體"/>
          <w:sz w:val="26"/>
        </w:rPr>
        <w:t>IFR</w:t>
      </w:r>
      <w:r w:rsidRPr="00D15001">
        <w:rPr>
          <w:rFonts w:eastAsia="標楷體" w:hint="eastAsia"/>
          <w:sz w:val="26"/>
        </w:rPr>
        <w:t>會員，該組織現有</w:t>
      </w:r>
      <w:r w:rsidRPr="00D15001">
        <w:rPr>
          <w:rFonts w:eastAsia="標楷體"/>
          <w:sz w:val="26"/>
        </w:rPr>
        <w:t xml:space="preserve">50 </w:t>
      </w:r>
      <w:r w:rsidRPr="00D15001">
        <w:rPr>
          <w:rFonts w:eastAsia="標楷體" w:hint="eastAsia"/>
          <w:sz w:val="26"/>
        </w:rPr>
        <w:t>多名會員，包括行業組織、研發機構和供應商三種形式的會員。中國機器人產業聯盟的成立將促進中國大陸在機器人技術、市場、智慧財產權等領域進展，也加快機器人產品在各行業普及應用。</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rPr>
        <w:t>二、產業自動化</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中國大陸產業自動化以企業自主應用為主，政府政策為輔的發展方式。與自動化產業的政策重視程度相比，</w:t>
      </w:r>
      <w:r w:rsidR="00E12C08">
        <w:rPr>
          <w:rFonts w:eastAsia="標楷體" w:hint="eastAsia"/>
          <w:sz w:val="26"/>
        </w:rPr>
        <w:t>中國大陸</w:t>
      </w:r>
      <w:r w:rsidRPr="00D15001">
        <w:rPr>
          <w:rFonts w:eastAsia="標楷體" w:hint="eastAsia"/>
          <w:sz w:val="26"/>
        </w:rPr>
        <w:t>國家政策在產業自動化上相對著墨較少，且屬於被動式的政策鼓勵。這一方面是因為中國大陸產業自動化受限於自動化產業的自主性不足，在零組件和設備技術上仍落後歐美日國家，導致市場價格受到限制，自動化成本昂貴；另一方面是由於中國大陸企業技術研發能量相對較弱，大多數集中在產業鏈技術含量低的下游系統整合應用，促使產業鏈上、中游的發展必須由政府政策為支撐。</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若從工業機器人保有量來看自動化市場需求變化，近年來中國大陸工業機器人保有量迅速增加（圖</w:t>
      </w:r>
      <w:r w:rsidRPr="00D15001">
        <w:rPr>
          <w:rFonts w:eastAsia="標楷體"/>
          <w:sz w:val="26"/>
        </w:rPr>
        <w:t>5-3</w:t>
      </w:r>
      <w:r w:rsidRPr="00D15001">
        <w:rPr>
          <w:rFonts w:eastAsia="標楷體" w:hint="eastAsia"/>
          <w:sz w:val="26"/>
        </w:rPr>
        <w:t>），分別有兩個攀升點，其一為</w:t>
      </w:r>
      <w:r w:rsidRPr="00D15001">
        <w:rPr>
          <w:rFonts w:eastAsia="標楷體"/>
          <w:sz w:val="26"/>
        </w:rPr>
        <w:t>2004</w:t>
      </w:r>
      <w:r w:rsidRPr="00D15001">
        <w:rPr>
          <w:rFonts w:eastAsia="標楷體" w:hint="eastAsia"/>
          <w:sz w:val="26"/>
        </w:rPr>
        <w:t>年機器人保有量開始明顯增加，甚至在</w:t>
      </w:r>
      <w:r w:rsidRPr="00D15001">
        <w:rPr>
          <w:rFonts w:eastAsia="標楷體"/>
          <w:sz w:val="26"/>
        </w:rPr>
        <w:t>2007</w:t>
      </w:r>
      <w:r w:rsidRPr="00D15001">
        <w:rPr>
          <w:rFonts w:eastAsia="標楷體" w:hint="eastAsia"/>
          <w:sz w:val="26"/>
        </w:rPr>
        <w:t>年超越臺灣；其二為</w:t>
      </w:r>
      <w:r w:rsidRPr="00D15001">
        <w:rPr>
          <w:rFonts w:eastAsia="標楷體"/>
          <w:sz w:val="26"/>
        </w:rPr>
        <w:t>2009</w:t>
      </w:r>
      <w:r w:rsidRPr="00D15001">
        <w:rPr>
          <w:rFonts w:eastAsia="標楷體" w:hint="eastAsia"/>
          <w:sz w:val="26"/>
        </w:rPr>
        <w:t>年以後機器人保有量增加更為快速，根據國際機器人工業聯合會（</w:t>
      </w:r>
      <w:r w:rsidRPr="00D15001">
        <w:rPr>
          <w:rFonts w:eastAsia="標楷體"/>
          <w:sz w:val="26"/>
        </w:rPr>
        <w:t>IFR</w:t>
      </w:r>
      <w:r w:rsidRPr="00D15001">
        <w:rPr>
          <w:rFonts w:eastAsia="標楷體" w:hint="eastAsia"/>
          <w:sz w:val="26"/>
        </w:rPr>
        <w:t>）最新</w:t>
      </w:r>
      <w:r w:rsidRPr="00D15001">
        <w:rPr>
          <w:rFonts w:eastAsia="標楷體" w:hint="eastAsia"/>
          <w:sz w:val="26"/>
        </w:rPr>
        <w:lastRenderedPageBreak/>
        <w:t>資料顯示，</w:t>
      </w:r>
      <w:r w:rsidRPr="00D15001">
        <w:rPr>
          <w:rFonts w:eastAsia="標楷體"/>
          <w:sz w:val="26"/>
        </w:rPr>
        <w:t>2013</w:t>
      </w:r>
      <w:r w:rsidRPr="00D15001">
        <w:rPr>
          <w:rFonts w:eastAsia="標楷體" w:hint="eastAsia"/>
          <w:sz w:val="26"/>
        </w:rPr>
        <w:t>年中國大陸已取代日本，成為全球最大工業機器人市場。</w:t>
      </w:r>
      <w:r w:rsidRPr="00D15001">
        <w:rPr>
          <w:rFonts w:eastAsia="標楷體"/>
          <w:sz w:val="26"/>
        </w:rPr>
        <w:t>2013</w:t>
      </w:r>
      <w:r w:rsidRPr="00D15001">
        <w:rPr>
          <w:rFonts w:eastAsia="標楷體" w:hint="eastAsia"/>
          <w:sz w:val="26"/>
        </w:rPr>
        <w:t>年中國大陸工業機器人新裝置數量為</w:t>
      </w:r>
      <w:r w:rsidRPr="00D15001">
        <w:rPr>
          <w:rFonts w:eastAsia="標楷體"/>
          <w:sz w:val="26"/>
        </w:rPr>
        <w:t>3.6</w:t>
      </w:r>
      <w:r w:rsidRPr="00D15001">
        <w:rPr>
          <w:rFonts w:eastAsia="標楷體" w:hint="eastAsia"/>
          <w:sz w:val="26"/>
        </w:rPr>
        <w:t>萬臺，較上年度成長約六成，日本新裝置數量為</w:t>
      </w:r>
      <w:r w:rsidRPr="00D15001">
        <w:rPr>
          <w:rFonts w:eastAsia="標楷體"/>
          <w:sz w:val="26"/>
        </w:rPr>
        <w:t>2.6</w:t>
      </w:r>
      <w:r w:rsidRPr="00D15001">
        <w:rPr>
          <w:rFonts w:eastAsia="標楷體" w:hint="eastAsia"/>
          <w:sz w:val="26"/>
        </w:rPr>
        <w:t>萬臺。若從工業機器人密度來看，</w:t>
      </w:r>
      <w:r w:rsidRPr="00D15001">
        <w:rPr>
          <w:rFonts w:eastAsia="標楷體"/>
          <w:sz w:val="26"/>
        </w:rPr>
        <w:t>2013</w:t>
      </w:r>
      <w:r w:rsidRPr="00D15001">
        <w:rPr>
          <w:rFonts w:eastAsia="標楷體" w:hint="eastAsia"/>
          <w:sz w:val="26"/>
        </w:rPr>
        <w:t>年中國大陸每萬名工人的工業機器人持有量僅</w:t>
      </w:r>
      <w:r w:rsidRPr="00D15001">
        <w:rPr>
          <w:rFonts w:eastAsia="標楷體"/>
          <w:sz w:val="26"/>
        </w:rPr>
        <w:t>23</w:t>
      </w:r>
      <w:r w:rsidRPr="00D15001">
        <w:rPr>
          <w:rFonts w:eastAsia="標楷體" w:hint="eastAsia"/>
          <w:sz w:val="26"/>
        </w:rPr>
        <w:t>臺，低於世界平均值</w:t>
      </w:r>
      <w:r w:rsidRPr="00D15001">
        <w:rPr>
          <w:rFonts w:eastAsia="標楷體"/>
          <w:sz w:val="26"/>
        </w:rPr>
        <w:t>58</w:t>
      </w:r>
      <w:r w:rsidRPr="00D15001">
        <w:rPr>
          <w:rFonts w:eastAsia="標楷體" w:hint="eastAsia"/>
          <w:sz w:val="26"/>
        </w:rPr>
        <w:t>臺，相較於臺灣</w:t>
      </w:r>
      <w:r w:rsidRPr="00D15001">
        <w:rPr>
          <w:rFonts w:eastAsia="標楷體"/>
          <w:sz w:val="26"/>
        </w:rPr>
        <w:t>124</w:t>
      </w:r>
      <w:r w:rsidRPr="00D15001">
        <w:rPr>
          <w:rFonts w:eastAsia="標楷體" w:hint="eastAsia"/>
          <w:sz w:val="26"/>
        </w:rPr>
        <w:t>臺、日本</w:t>
      </w:r>
      <w:r w:rsidRPr="00D15001">
        <w:rPr>
          <w:rFonts w:eastAsia="標楷體"/>
          <w:sz w:val="26"/>
        </w:rPr>
        <w:t>332</w:t>
      </w:r>
      <w:r w:rsidRPr="00D15001">
        <w:rPr>
          <w:rFonts w:eastAsia="標楷體" w:hint="eastAsia"/>
          <w:sz w:val="26"/>
        </w:rPr>
        <w:t>臺、韓國</w:t>
      </w:r>
      <w:r w:rsidRPr="00D15001">
        <w:rPr>
          <w:rFonts w:eastAsia="標楷體"/>
          <w:sz w:val="26"/>
        </w:rPr>
        <w:t>396</w:t>
      </w:r>
      <w:r w:rsidRPr="00D15001">
        <w:rPr>
          <w:rFonts w:eastAsia="標楷體" w:hint="eastAsia"/>
          <w:sz w:val="26"/>
        </w:rPr>
        <w:t>臺差距甚遠，但由此可以預見未來中國大陸自動化市場龐大的成長空間。</w:t>
      </w:r>
    </w:p>
    <w:p w:rsidR="004163FA" w:rsidRPr="00D15001" w:rsidRDefault="00796180" w:rsidP="004163FA">
      <w:pPr>
        <w:widowControl/>
        <w:jc w:val="center"/>
        <w:rPr>
          <w:rFonts w:ascii="標楷體" w:eastAsia="標楷體" w:hAnsi="標楷體"/>
          <w:spacing w:val="10"/>
          <w:sz w:val="28"/>
          <w:szCs w:val="28"/>
        </w:rPr>
      </w:pPr>
      <w:r>
        <w:rPr>
          <w:rFonts w:eastAsia="標楷體"/>
          <w:noProof/>
          <w:spacing w:val="10"/>
          <w:sz w:val="28"/>
          <w:szCs w:val="28"/>
        </w:rPr>
        <w:drawing>
          <wp:inline distT="0" distB="0" distL="0" distR="0">
            <wp:extent cx="5227320" cy="2811145"/>
            <wp:effectExtent l="0" t="0" r="0" b="8255"/>
            <wp:docPr id="20" name="圖表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8"/>
                    <pic:cNvPicPr>
                      <a:picLocks noChangeArrowheads="1"/>
                    </pic:cNvPicPr>
                  </pic:nvPicPr>
                  <pic:blipFill>
                    <a:blip r:embed="rId36">
                      <a:extLst>
                        <a:ext uri="{28A0092B-C50C-407E-A947-70E740481C1C}">
                          <a14:useLocalDpi xmlns:a14="http://schemas.microsoft.com/office/drawing/2010/main" val="0"/>
                        </a:ext>
                      </a:extLst>
                    </a:blip>
                    <a:srcRect b="-23"/>
                    <a:stretch>
                      <a:fillRect/>
                    </a:stretch>
                  </pic:blipFill>
                  <pic:spPr bwMode="auto">
                    <a:xfrm>
                      <a:off x="0" y="0"/>
                      <a:ext cx="5227320" cy="2811145"/>
                    </a:xfrm>
                    <a:prstGeom prst="rect">
                      <a:avLst/>
                    </a:prstGeom>
                    <a:noFill/>
                    <a:ln>
                      <a:noFill/>
                    </a:ln>
                  </pic:spPr>
                </pic:pic>
              </a:graphicData>
            </a:graphic>
          </wp:inline>
        </w:drawing>
      </w:r>
    </w:p>
    <w:p w:rsidR="004163FA" w:rsidRPr="00D15001" w:rsidRDefault="004163FA" w:rsidP="004163FA">
      <w:pPr>
        <w:rPr>
          <w:rFonts w:eastAsia="標楷體"/>
          <w:sz w:val="20"/>
        </w:rPr>
      </w:pPr>
      <w:r w:rsidRPr="00D15001">
        <w:rPr>
          <w:rFonts w:eastAsia="標楷體" w:hint="eastAsia"/>
          <w:sz w:val="20"/>
        </w:rPr>
        <w:t>資料來源：</w:t>
      </w:r>
      <w:r w:rsidRPr="00D15001">
        <w:rPr>
          <w:rFonts w:eastAsia="標楷體"/>
          <w:sz w:val="20"/>
        </w:rPr>
        <w:t>International Federation of Robotics.</w:t>
      </w:r>
    </w:p>
    <w:p w:rsidR="004163FA" w:rsidRPr="00B014B3" w:rsidRDefault="004163FA" w:rsidP="00B014B3">
      <w:pPr>
        <w:pStyle w:val="af0"/>
      </w:pPr>
      <w:bookmarkStart w:id="68" w:name="_Toc405462640"/>
      <w:r w:rsidRPr="00D15001">
        <w:rPr>
          <w:rFonts w:hint="eastAsia"/>
        </w:rPr>
        <w:t>圖</w:t>
      </w:r>
      <w:r w:rsidRPr="00D15001">
        <w:t>5-3</w:t>
      </w:r>
      <w:r w:rsidRPr="00D15001">
        <w:rPr>
          <w:rFonts w:hint="eastAsia"/>
        </w:rPr>
        <w:t xml:space="preserve">　兩岸工業機器人保有量：</w:t>
      </w:r>
      <w:r w:rsidRPr="00D15001">
        <w:t>1999-2013</w:t>
      </w:r>
      <w:r w:rsidRPr="00D15001">
        <w:rPr>
          <w:rFonts w:hint="eastAsia"/>
        </w:rPr>
        <w:t>年</w:t>
      </w:r>
      <w:bookmarkEnd w:id="68"/>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根據</w:t>
      </w:r>
      <w:r w:rsidRPr="00D15001">
        <w:rPr>
          <w:rFonts w:eastAsia="標楷體"/>
          <w:sz w:val="26"/>
        </w:rPr>
        <w:t>IFR</w:t>
      </w:r>
      <w:r w:rsidRPr="00D15001">
        <w:rPr>
          <w:rFonts w:eastAsia="標楷體" w:hint="eastAsia"/>
          <w:sz w:val="26"/>
        </w:rPr>
        <w:t>統計顯示，</w:t>
      </w:r>
      <w:r w:rsidRPr="00D15001">
        <w:rPr>
          <w:rFonts w:eastAsia="標楷體"/>
          <w:sz w:val="26"/>
        </w:rPr>
        <w:t>2012</w:t>
      </w:r>
      <w:r w:rsidRPr="00D15001">
        <w:rPr>
          <w:rFonts w:eastAsia="標楷體" w:hint="eastAsia"/>
          <w:sz w:val="26"/>
        </w:rPr>
        <w:t>年中國大陸為全球第二大工業機器人裝置國，僅次於日本。該項數據包含所有從國外進口的機器人，但不包括中國大陸本土製造的機器人，以及富士康製造的</w:t>
      </w:r>
      <w:r w:rsidRPr="00D15001">
        <w:rPr>
          <w:rFonts w:eastAsia="標楷體"/>
          <w:sz w:val="26"/>
        </w:rPr>
        <w:t>Foxbot</w:t>
      </w:r>
      <w:r w:rsidRPr="00D15001">
        <w:rPr>
          <w:rFonts w:eastAsia="標楷體" w:hint="eastAsia"/>
          <w:sz w:val="26"/>
        </w:rPr>
        <w:t>機器人，所以實際裝置數量來得更多。原先預期</w:t>
      </w:r>
      <w:r w:rsidRPr="00D15001">
        <w:rPr>
          <w:rFonts w:eastAsia="標楷體"/>
          <w:sz w:val="26"/>
        </w:rPr>
        <w:t>2014</w:t>
      </w:r>
      <w:r w:rsidRPr="00D15001">
        <w:rPr>
          <w:rFonts w:eastAsia="標楷體" w:hint="eastAsia"/>
          <w:sz w:val="26"/>
        </w:rPr>
        <w:t>年中國大陸工業機器人市場規模將與日本並駕齊驅，到</w:t>
      </w:r>
      <w:r w:rsidRPr="00D15001">
        <w:rPr>
          <w:rFonts w:eastAsia="標楷體"/>
          <w:sz w:val="26"/>
        </w:rPr>
        <w:t>2015</w:t>
      </w:r>
      <w:r w:rsidRPr="00D15001">
        <w:rPr>
          <w:rFonts w:eastAsia="標楷體" w:hint="eastAsia"/>
          <w:sz w:val="26"/>
        </w:rPr>
        <w:t>年將超越日本，成為全球最大工業機器人裝置國。但在</w:t>
      </w:r>
      <w:r w:rsidRPr="00D15001">
        <w:rPr>
          <w:rFonts w:eastAsia="標楷體"/>
          <w:sz w:val="26"/>
        </w:rPr>
        <w:t>2013</w:t>
      </w:r>
      <w:r w:rsidRPr="00D15001">
        <w:rPr>
          <w:rFonts w:eastAsia="標楷體" w:hint="eastAsia"/>
          <w:sz w:val="26"/>
        </w:rPr>
        <w:t>年最新資料公</w:t>
      </w:r>
      <w:r>
        <w:rPr>
          <w:rFonts w:eastAsia="標楷體" w:hint="eastAsia"/>
          <w:sz w:val="26"/>
        </w:rPr>
        <w:t>布</w:t>
      </w:r>
      <w:r w:rsidRPr="00D15001">
        <w:rPr>
          <w:rFonts w:eastAsia="標楷體" w:hint="eastAsia"/>
          <w:sz w:val="26"/>
        </w:rPr>
        <w:t>，中國大陸該年度工業機器人裝置量高達近</w:t>
      </w:r>
      <w:r w:rsidRPr="00D15001">
        <w:rPr>
          <w:rFonts w:eastAsia="標楷體"/>
          <w:sz w:val="26"/>
        </w:rPr>
        <w:t>37,000</w:t>
      </w:r>
      <w:r w:rsidRPr="00D15001">
        <w:rPr>
          <w:rFonts w:eastAsia="標楷體" w:hint="eastAsia"/>
          <w:sz w:val="26"/>
        </w:rPr>
        <w:t>臺，比預測的提前超越日本成為世界第一大工業機器人市場。雖然如此，日本仍是目前工業機器人保有量最大的國家，以及全球最大工業機器人生產地。</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若對照勞動生產力和機器人保有量來看，首先，每名就業人員勞動生</w:t>
      </w:r>
      <w:r w:rsidRPr="00D15001">
        <w:rPr>
          <w:rFonts w:eastAsia="標楷體" w:hint="eastAsia"/>
          <w:sz w:val="26"/>
        </w:rPr>
        <w:lastRenderedPageBreak/>
        <w:t>產力在</w:t>
      </w:r>
      <w:r w:rsidRPr="00D15001">
        <w:rPr>
          <w:rFonts w:eastAsia="標楷體"/>
          <w:sz w:val="26"/>
        </w:rPr>
        <w:t>2006</w:t>
      </w:r>
      <w:r w:rsidRPr="00D15001">
        <w:rPr>
          <w:rFonts w:eastAsia="標楷體" w:hint="eastAsia"/>
          <w:sz w:val="26"/>
        </w:rPr>
        <w:t>年以前未超過</w:t>
      </w:r>
      <w:r w:rsidRPr="00D15001">
        <w:rPr>
          <w:rFonts w:eastAsia="標楷體"/>
          <w:sz w:val="26"/>
        </w:rPr>
        <w:t>1</w:t>
      </w:r>
      <w:r w:rsidRPr="00D15001">
        <w:rPr>
          <w:rFonts w:eastAsia="標楷體" w:hint="eastAsia"/>
          <w:sz w:val="26"/>
        </w:rPr>
        <w:t>萬美元，</w:t>
      </w:r>
      <w:r w:rsidRPr="00D15001">
        <w:rPr>
          <w:rFonts w:eastAsia="標楷體"/>
          <w:sz w:val="26"/>
        </w:rPr>
        <w:t>2006-2013</w:t>
      </w:r>
      <w:r w:rsidRPr="00D15001">
        <w:rPr>
          <w:rFonts w:eastAsia="標楷體" w:hint="eastAsia"/>
          <w:sz w:val="26"/>
        </w:rPr>
        <w:t>年短短</w:t>
      </w:r>
      <w:r w:rsidRPr="00D15001">
        <w:rPr>
          <w:rFonts w:eastAsia="標楷體"/>
          <w:sz w:val="26"/>
        </w:rPr>
        <w:t>8</w:t>
      </w:r>
      <w:r w:rsidRPr="00D15001">
        <w:rPr>
          <w:rFonts w:eastAsia="標楷體" w:hint="eastAsia"/>
          <w:sz w:val="26"/>
        </w:rPr>
        <w:t>年期間即增加到約</w:t>
      </w:r>
      <w:r w:rsidRPr="00D15001">
        <w:rPr>
          <w:rFonts w:eastAsia="標楷體"/>
          <w:sz w:val="26"/>
        </w:rPr>
        <w:t>2</w:t>
      </w:r>
      <w:r w:rsidRPr="00D15001">
        <w:rPr>
          <w:rFonts w:eastAsia="標楷體" w:hint="eastAsia"/>
          <w:sz w:val="26"/>
        </w:rPr>
        <w:t>萬美元，成長超過兩倍。也就是說，在</w:t>
      </w:r>
      <w:r w:rsidRPr="00D15001">
        <w:rPr>
          <w:rFonts w:eastAsia="標楷體"/>
          <w:sz w:val="26"/>
        </w:rPr>
        <w:t>2004</w:t>
      </w:r>
      <w:r w:rsidRPr="00D15001">
        <w:rPr>
          <w:rFonts w:eastAsia="標楷體" w:hint="eastAsia"/>
          <w:sz w:val="26"/>
        </w:rPr>
        <w:t>年中國大陸機器人保有量迅速增加之後，勞動生產力也跟著快速成長。其次，勞動生產力成長率在</w:t>
      </w:r>
      <w:r w:rsidRPr="00D15001">
        <w:rPr>
          <w:rFonts w:eastAsia="標楷體"/>
          <w:sz w:val="26"/>
        </w:rPr>
        <w:t>2000</w:t>
      </w:r>
      <w:r w:rsidRPr="00D15001">
        <w:rPr>
          <w:rFonts w:eastAsia="標楷體" w:hint="eastAsia"/>
          <w:sz w:val="26"/>
        </w:rPr>
        <w:t>年後一段時間呈現攀升的趨勢，可以看到增加工業機器人的使用，其與勞動生產力的成長速度有正向相關。</w:t>
      </w:r>
      <w:r w:rsidRPr="00D15001">
        <w:rPr>
          <w:rFonts w:eastAsia="標楷體"/>
          <w:sz w:val="26"/>
        </w:rPr>
        <w:t>2008</w:t>
      </w:r>
      <w:r w:rsidRPr="00D15001">
        <w:rPr>
          <w:rFonts w:eastAsia="標楷體" w:hint="eastAsia"/>
          <w:sz w:val="26"/>
        </w:rPr>
        <w:t>年後受到國際經濟景氣影響，成長率雖有下滑，但仍可看到在景氣逐漸復甦後，</w:t>
      </w:r>
      <w:r w:rsidRPr="00D15001">
        <w:rPr>
          <w:rFonts w:eastAsia="標楷體"/>
          <w:sz w:val="26"/>
        </w:rPr>
        <w:t>2010</w:t>
      </w:r>
      <w:r w:rsidRPr="00D15001">
        <w:rPr>
          <w:rFonts w:eastAsia="標楷體" w:hint="eastAsia"/>
          <w:sz w:val="26"/>
        </w:rPr>
        <w:t>年開始機器人保有量再次迅速攀升，且攀升幅度遠大於國際金融危機以前，這對中國大陸未來勞動生產力的成長速度將可能產生很大的助力。</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中國大陸工業機器人在應用行業方面，使用量最多的為汽車產業，</w:t>
      </w:r>
      <w:r w:rsidRPr="00D15001">
        <w:rPr>
          <w:rFonts w:eastAsia="標楷體"/>
          <w:sz w:val="26"/>
        </w:rPr>
        <w:t>2012</w:t>
      </w:r>
      <w:r w:rsidRPr="00D15001">
        <w:rPr>
          <w:rFonts w:eastAsia="標楷體" w:hint="eastAsia"/>
          <w:sz w:val="26"/>
        </w:rPr>
        <w:t>年新裝置量為</w:t>
      </w:r>
      <w:r w:rsidRPr="00D15001">
        <w:rPr>
          <w:rFonts w:eastAsia="標楷體"/>
          <w:sz w:val="26"/>
        </w:rPr>
        <w:t>9,642</w:t>
      </w:r>
      <w:r w:rsidRPr="00D15001">
        <w:rPr>
          <w:rFonts w:eastAsia="標楷體" w:hint="eastAsia"/>
          <w:sz w:val="26"/>
        </w:rPr>
        <w:t>臺，占總體的</w:t>
      </w:r>
      <w:r w:rsidRPr="00D15001">
        <w:rPr>
          <w:rFonts w:eastAsia="標楷體"/>
          <w:sz w:val="26"/>
        </w:rPr>
        <w:t>42%</w:t>
      </w:r>
      <w:r w:rsidRPr="00D15001">
        <w:rPr>
          <w:rFonts w:eastAsia="標楷體" w:hint="eastAsia"/>
          <w:sz w:val="26"/>
        </w:rPr>
        <w:t>，特別是引擎和車體等大型工件。其次為電氣電子產業，</w:t>
      </w:r>
      <w:r w:rsidRPr="00D15001">
        <w:rPr>
          <w:rFonts w:eastAsia="標楷體"/>
          <w:sz w:val="26"/>
        </w:rPr>
        <w:t>2012</w:t>
      </w:r>
      <w:r w:rsidRPr="00D15001">
        <w:rPr>
          <w:rFonts w:eastAsia="標楷體" w:hint="eastAsia"/>
          <w:sz w:val="26"/>
        </w:rPr>
        <w:t>年新裝置量為</w:t>
      </w:r>
      <w:r w:rsidRPr="00D15001">
        <w:rPr>
          <w:rFonts w:eastAsia="標楷體"/>
          <w:sz w:val="26"/>
        </w:rPr>
        <w:t>3,289</w:t>
      </w:r>
      <w:r w:rsidRPr="00D15001">
        <w:rPr>
          <w:rFonts w:eastAsia="標楷體" w:hint="eastAsia"/>
          <w:sz w:val="26"/>
        </w:rPr>
        <w:t>臺，占總體的</w:t>
      </w:r>
      <w:r w:rsidRPr="00D15001">
        <w:rPr>
          <w:rFonts w:eastAsia="標楷體"/>
          <w:sz w:val="26"/>
        </w:rPr>
        <w:t>14%</w:t>
      </w:r>
      <w:r w:rsidRPr="00D15001">
        <w:rPr>
          <w:rFonts w:eastAsia="標楷體" w:hint="eastAsia"/>
          <w:sz w:val="26"/>
        </w:rPr>
        <w:t>，特別是半導體、</w:t>
      </w:r>
      <w:r w:rsidRPr="00D15001">
        <w:rPr>
          <w:rFonts w:eastAsia="標楷體"/>
          <w:sz w:val="26"/>
        </w:rPr>
        <w:t>LCD</w:t>
      </w:r>
      <w:r w:rsidRPr="00D15001">
        <w:rPr>
          <w:rFonts w:eastAsia="標楷體" w:hint="eastAsia"/>
          <w:sz w:val="26"/>
        </w:rPr>
        <w:t>、</w:t>
      </w:r>
      <w:r w:rsidRPr="00D15001">
        <w:rPr>
          <w:rFonts w:eastAsia="標楷體"/>
          <w:sz w:val="26"/>
        </w:rPr>
        <w:t>LED</w:t>
      </w:r>
      <w:r w:rsidRPr="00D15001">
        <w:rPr>
          <w:rFonts w:eastAsia="標楷體" w:hint="eastAsia"/>
          <w:sz w:val="26"/>
        </w:rPr>
        <w:t>等產業特性，需要加工精度、潔淨度要求高者。再其次為金屬和機械產業，</w:t>
      </w:r>
      <w:r w:rsidRPr="00D15001">
        <w:rPr>
          <w:rFonts w:eastAsia="標楷體"/>
          <w:sz w:val="26"/>
        </w:rPr>
        <w:t>2012</w:t>
      </w:r>
      <w:r w:rsidRPr="00D15001">
        <w:rPr>
          <w:rFonts w:eastAsia="標楷體" w:hint="eastAsia"/>
          <w:sz w:val="26"/>
        </w:rPr>
        <w:t>年新裝置量為</w:t>
      </w:r>
      <w:r w:rsidRPr="00D15001">
        <w:rPr>
          <w:rFonts w:eastAsia="標楷體"/>
          <w:sz w:val="26"/>
        </w:rPr>
        <w:t>2,198</w:t>
      </w:r>
      <w:r w:rsidRPr="00D15001">
        <w:rPr>
          <w:rFonts w:eastAsia="標楷體" w:hint="eastAsia"/>
          <w:sz w:val="26"/>
        </w:rPr>
        <w:t>臺，占總體的</w:t>
      </w:r>
      <w:r w:rsidRPr="00D15001">
        <w:rPr>
          <w:rFonts w:eastAsia="標楷體"/>
          <w:sz w:val="26"/>
        </w:rPr>
        <w:t>10%</w:t>
      </w:r>
      <w:r w:rsidRPr="00D15001">
        <w:rPr>
          <w:rFonts w:eastAsia="標楷體" w:hint="eastAsia"/>
          <w:sz w:val="26"/>
        </w:rPr>
        <w:t>，特別是金屬加工需求，工作環境不佳導致勞動意願下降。排名第四和第五大應用行業為化學、橡塑膠製品業和食品業。</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在工業機器人使用機型方面，中國大陸工業機器人需求量最多的為關節型機器人</w:t>
      </w:r>
      <w:r>
        <w:rPr>
          <w:rStyle w:val="aff0"/>
          <w:sz w:val="26"/>
        </w:rPr>
        <w:footnoteReference w:id="43"/>
      </w:r>
      <w:r w:rsidRPr="00D15001">
        <w:rPr>
          <w:rFonts w:eastAsia="標楷體" w:hint="eastAsia"/>
          <w:sz w:val="26"/>
        </w:rPr>
        <w:t>，</w:t>
      </w:r>
      <w:r w:rsidRPr="00D15001">
        <w:rPr>
          <w:rFonts w:eastAsia="標楷體"/>
          <w:sz w:val="26"/>
        </w:rPr>
        <w:t>2012</w:t>
      </w:r>
      <w:r w:rsidRPr="00D15001">
        <w:rPr>
          <w:rFonts w:eastAsia="標楷體" w:hint="eastAsia"/>
          <w:sz w:val="26"/>
        </w:rPr>
        <w:t>年銷售量為</w:t>
      </w:r>
      <w:r w:rsidRPr="00D15001">
        <w:rPr>
          <w:rFonts w:eastAsia="標楷體"/>
          <w:sz w:val="26"/>
        </w:rPr>
        <w:t>18,229</w:t>
      </w:r>
      <w:r w:rsidRPr="00D15001">
        <w:rPr>
          <w:rFonts w:eastAsia="標楷體" w:hint="eastAsia"/>
          <w:sz w:val="26"/>
        </w:rPr>
        <w:t>臺，占整體的</w:t>
      </w:r>
      <w:r w:rsidRPr="00D15001">
        <w:rPr>
          <w:rFonts w:eastAsia="標楷體"/>
          <w:sz w:val="26"/>
        </w:rPr>
        <w:t>79%</w:t>
      </w:r>
      <w:r w:rsidRPr="00D15001">
        <w:rPr>
          <w:rFonts w:eastAsia="標楷體" w:hint="eastAsia"/>
          <w:sz w:val="26"/>
        </w:rPr>
        <w:t>，主要應用在汽車產業的大型、立體工件製程。其次為</w:t>
      </w:r>
      <w:r w:rsidRPr="00D15001">
        <w:rPr>
          <w:rFonts w:eastAsia="標楷體"/>
          <w:sz w:val="26"/>
        </w:rPr>
        <w:t>SCARA</w:t>
      </w:r>
      <w:r w:rsidRPr="00D15001">
        <w:rPr>
          <w:rFonts w:eastAsia="標楷體" w:hint="eastAsia"/>
          <w:sz w:val="26"/>
        </w:rPr>
        <w:t>機器人</w:t>
      </w:r>
      <w:r>
        <w:rPr>
          <w:rStyle w:val="aff0"/>
          <w:sz w:val="26"/>
        </w:rPr>
        <w:footnoteReference w:id="44"/>
      </w:r>
      <w:r w:rsidRPr="00D15001">
        <w:rPr>
          <w:rFonts w:eastAsia="標楷體" w:hint="eastAsia"/>
          <w:sz w:val="26"/>
        </w:rPr>
        <w:t>，</w:t>
      </w:r>
      <w:r w:rsidRPr="00D15001">
        <w:rPr>
          <w:rFonts w:eastAsia="標楷體"/>
          <w:sz w:val="26"/>
        </w:rPr>
        <w:t>2012</w:t>
      </w:r>
      <w:r w:rsidRPr="00D15001">
        <w:rPr>
          <w:rFonts w:eastAsia="標楷體" w:hint="eastAsia"/>
          <w:sz w:val="26"/>
        </w:rPr>
        <w:t>年銷售量為</w:t>
      </w:r>
      <w:r w:rsidRPr="00D15001">
        <w:rPr>
          <w:rFonts w:eastAsia="標楷體"/>
          <w:sz w:val="26"/>
        </w:rPr>
        <w:t>2,545</w:t>
      </w:r>
      <w:r w:rsidRPr="00D15001">
        <w:rPr>
          <w:rFonts w:eastAsia="標楷體" w:hint="eastAsia"/>
          <w:sz w:val="26"/>
        </w:rPr>
        <w:t>臺，占整體的</w:t>
      </w:r>
      <w:r w:rsidRPr="00D15001">
        <w:rPr>
          <w:rFonts w:eastAsia="標楷體"/>
          <w:sz w:val="26"/>
        </w:rPr>
        <w:t>11%</w:t>
      </w:r>
      <w:r w:rsidRPr="00D15001">
        <w:rPr>
          <w:rFonts w:eastAsia="標楷體" w:hint="eastAsia"/>
          <w:sz w:val="26"/>
        </w:rPr>
        <w:t>，主要應用在電氣電子產業，因其具有移動速度快、售價適當等優點。再其次為線性、直角坐標、門型機器人，</w:t>
      </w:r>
      <w:r w:rsidRPr="00D15001">
        <w:rPr>
          <w:rFonts w:eastAsia="標楷體"/>
          <w:sz w:val="26"/>
        </w:rPr>
        <w:t>2012</w:t>
      </w:r>
      <w:r w:rsidRPr="00D15001">
        <w:rPr>
          <w:rFonts w:eastAsia="標楷體" w:hint="eastAsia"/>
          <w:sz w:val="26"/>
        </w:rPr>
        <w:t>年銷售量為</w:t>
      </w:r>
      <w:r w:rsidRPr="00D15001">
        <w:rPr>
          <w:rFonts w:eastAsia="標楷體"/>
          <w:sz w:val="26"/>
        </w:rPr>
        <w:t>1,848</w:t>
      </w:r>
      <w:r w:rsidRPr="00D15001">
        <w:rPr>
          <w:rFonts w:eastAsia="標楷體" w:hint="eastAsia"/>
          <w:sz w:val="26"/>
        </w:rPr>
        <w:t>臺。值得注意的是，</w:t>
      </w:r>
      <w:r w:rsidRPr="00D15001">
        <w:rPr>
          <w:rFonts w:eastAsia="標楷體"/>
          <w:sz w:val="26"/>
        </w:rPr>
        <w:t>2012</w:t>
      </w:r>
      <w:r w:rsidRPr="00D15001">
        <w:rPr>
          <w:rFonts w:eastAsia="標楷體" w:hint="eastAsia"/>
          <w:sz w:val="26"/>
        </w:rPr>
        <w:t>年</w:t>
      </w:r>
      <w:r w:rsidRPr="00D15001">
        <w:rPr>
          <w:rFonts w:eastAsia="標楷體"/>
          <w:sz w:val="26"/>
        </w:rPr>
        <w:t>SCARA</w:t>
      </w:r>
      <w:r w:rsidRPr="00D15001">
        <w:rPr>
          <w:rFonts w:eastAsia="標楷體" w:hint="eastAsia"/>
          <w:sz w:val="26"/>
        </w:rPr>
        <w:t>機器人銷售量與上年度相比，成長約</w:t>
      </w:r>
      <w:r w:rsidRPr="00D15001">
        <w:rPr>
          <w:rFonts w:eastAsia="標楷體"/>
          <w:sz w:val="26"/>
        </w:rPr>
        <w:t>49%</w:t>
      </w:r>
      <w:r w:rsidRPr="00D15001">
        <w:rPr>
          <w:rFonts w:eastAsia="標楷體" w:hint="eastAsia"/>
          <w:sz w:val="26"/>
        </w:rPr>
        <w:t>，成長幅度為各機型之首，顯示電氣電子業對工業機器人需求急遽升溫。</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lastRenderedPageBreak/>
        <w:t>在工業機器人應用地區分</w:t>
      </w:r>
      <w:r>
        <w:rPr>
          <w:rFonts w:eastAsia="標楷體" w:hint="eastAsia"/>
          <w:sz w:val="26"/>
        </w:rPr>
        <w:t>布</w:t>
      </w:r>
      <w:r w:rsidRPr="00D15001">
        <w:rPr>
          <w:rFonts w:eastAsia="標楷體" w:hint="eastAsia"/>
          <w:sz w:val="26"/>
        </w:rPr>
        <w:t>方面，中國大陸使用工業機器人最多的省份為廣東、江蘇、上海、北京等東部沿海省市，這些地區工業機器人保有量約占全國一半總量。目前工業機器人最大進口量為廣東省，但成長速度最快的為江蘇和上海等地，尤其是江蘇進口金額已超過廣東，排名全國第一。預計未來工業機器人主要市場從珠三角地區擴展長三角地區，長三角地區成為中國大陸最大的工業機器人需求地區，且使用的工業機器人單價高於珠三角地區。</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使用工業機器人的企業性質方面，中國大陸使用工業機器人的主要企業類型為外商獨資企業、中外合資企業和國有企業。以外商獨資企業和中外合資企業的使用量為最多，主要是因為該類型企業在製造業價值鏈位於較高端位置，擁有較多的技術能量和資訊較充足，對於導入自動化最為積極。而國有企業主要是大型企業和特大型企業，該類型企業本身對工業機器人有較大的需求，在採購上也能得到</w:t>
      </w:r>
      <w:r w:rsidR="00E12C08">
        <w:rPr>
          <w:rFonts w:eastAsia="標楷體" w:hint="eastAsia"/>
          <w:sz w:val="26"/>
        </w:rPr>
        <w:t>中國大陸</w:t>
      </w:r>
      <w:r w:rsidRPr="00D15001">
        <w:rPr>
          <w:rFonts w:eastAsia="標楷體" w:hint="eastAsia"/>
          <w:sz w:val="26"/>
        </w:rPr>
        <w:t>國家和地方政府的支持，未來較長一段時間內仍將保持成長情況。此外，民營企業對使用工業機器人相當積極，使用量快速成長，未來可能是中國大陸工業機器人的重要用戶。</w:t>
      </w:r>
    </w:p>
    <w:p w:rsidR="004163FA" w:rsidRPr="00D15001" w:rsidRDefault="004163FA" w:rsidP="004373BA">
      <w:pPr>
        <w:pStyle w:val="2"/>
        <w:spacing w:beforeLines="100" w:before="360" w:after="108"/>
        <w:rPr>
          <w:b w:val="0"/>
          <w:bCs w:val="0"/>
        </w:rPr>
      </w:pPr>
      <w:bookmarkStart w:id="69" w:name="_Toc405462598"/>
      <w:r w:rsidRPr="00D15001">
        <w:t>第</w:t>
      </w:r>
      <w:r w:rsidRPr="00D15001">
        <w:rPr>
          <w:rFonts w:hint="eastAsia"/>
        </w:rPr>
        <w:t>二</w:t>
      </w:r>
      <w:r w:rsidRPr="00D15001">
        <w:t xml:space="preserve">節　</w:t>
      </w:r>
      <w:r w:rsidRPr="00D15001">
        <w:rPr>
          <w:rFonts w:hint="eastAsia"/>
        </w:rPr>
        <w:t>兩岸自動化趨勢探討</w:t>
      </w:r>
      <w:bookmarkEnd w:id="69"/>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全球製造業在歐美再工業化引領之下，開始邁入全新工業生產模式階段，改變了價值創造模式，也就是說不再以生產要素為競爭條件，而是以「智慧製造結合服務」的全新商業模式。就如德國的工業</w:t>
      </w:r>
      <w:r w:rsidRPr="00D15001">
        <w:rPr>
          <w:rFonts w:eastAsia="標楷體"/>
          <w:sz w:val="26"/>
        </w:rPr>
        <w:t>4.0</w:t>
      </w:r>
      <w:r w:rsidRPr="00D15001">
        <w:rPr>
          <w:rFonts w:eastAsia="標楷體" w:hint="eastAsia"/>
          <w:sz w:val="26"/>
        </w:rPr>
        <w:t>透過結合運算、通訊、控制功能的智慧整合感控系統，連結物連網與服務聯網，未來的工廠與企業管理流程將整合智慧工廠與終端需求。受到歐美先進國家工業生產模式正在轉變的影響，未來全球製造業</w:t>
      </w:r>
      <w:r>
        <w:rPr>
          <w:rFonts w:eastAsia="標楷體" w:hint="eastAsia"/>
          <w:sz w:val="26"/>
        </w:rPr>
        <w:t>布</w:t>
      </w:r>
      <w:r w:rsidRPr="00D15001">
        <w:rPr>
          <w:rFonts w:eastAsia="標楷體" w:hint="eastAsia"/>
          <w:sz w:val="26"/>
        </w:rPr>
        <w:t>局將會持續調整，在此趨勢下中國大陸和臺灣自動化發展，將會是未來兩岸製造業的競爭關鍵。</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從全球工業機器人裝置地區來看，亞洲是迄今為止最大的工業機器人</w:t>
      </w:r>
      <w:r w:rsidRPr="00D15001">
        <w:rPr>
          <w:rFonts w:eastAsia="標楷體" w:hint="eastAsia"/>
          <w:sz w:val="26"/>
        </w:rPr>
        <w:lastRenderedPageBreak/>
        <w:t>裝置地區。中國大陸、臺灣和泰國等亞洲國家在行業別數據並不完整，難以瞭解整體亞洲地區各行業對工業機器人需求情況，但可確定的是亞洲汽車產業的裝置數量是最高的。以中國大陸為例，汽車產業和電子業是目前工業機器人需求量最高的兩個行業。除此之外，</w:t>
      </w:r>
      <w:r w:rsidRPr="00D15001">
        <w:rPr>
          <w:rFonts w:eastAsia="標楷體"/>
          <w:sz w:val="26"/>
        </w:rPr>
        <w:t>IFR</w:t>
      </w:r>
      <w:r w:rsidRPr="00D15001">
        <w:rPr>
          <w:rFonts w:eastAsia="標楷體" w:hint="eastAsia"/>
          <w:sz w:val="26"/>
        </w:rPr>
        <w:t>預測亞洲未來幾年內仍是全球工業機器人生產中心，預計到</w:t>
      </w:r>
      <w:r w:rsidRPr="00D15001">
        <w:rPr>
          <w:rFonts w:eastAsia="標楷體"/>
          <w:sz w:val="26"/>
        </w:rPr>
        <w:t>2016</w:t>
      </w:r>
      <w:r w:rsidRPr="00D15001">
        <w:rPr>
          <w:rFonts w:eastAsia="標楷體" w:hint="eastAsia"/>
          <w:sz w:val="26"/>
        </w:rPr>
        <w:t>年亞洲出貨量將達</w:t>
      </w:r>
      <w:r w:rsidRPr="00D15001">
        <w:rPr>
          <w:rFonts w:eastAsia="標楷體"/>
          <w:sz w:val="26"/>
        </w:rPr>
        <w:t>107,200</w:t>
      </w:r>
      <w:r w:rsidRPr="00D15001">
        <w:rPr>
          <w:rFonts w:eastAsia="標楷體" w:hint="eastAsia"/>
          <w:sz w:val="26"/>
        </w:rPr>
        <w:t>臺，歐洲為</w:t>
      </w:r>
      <w:r w:rsidRPr="00D15001">
        <w:rPr>
          <w:rFonts w:eastAsia="標楷體"/>
          <w:sz w:val="26"/>
        </w:rPr>
        <w:t>45,000</w:t>
      </w:r>
      <w:r w:rsidRPr="00D15001">
        <w:rPr>
          <w:rFonts w:eastAsia="標楷體" w:hint="eastAsia"/>
          <w:sz w:val="26"/>
        </w:rPr>
        <w:t>，美洲為</w:t>
      </w:r>
      <w:r w:rsidRPr="00D15001">
        <w:rPr>
          <w:rFonts w:eastAsia="標楷體"/>
          <w:sz w:val="26"/>
        </w:rPr>
        <w:t>34,900</w:t>
      </w:r>
      <w:r w:rsidRPr="00D15001">
        <w:rPr>
          <w:rFonts w:eastAsia="標楷體" w:hint="eastAsia"/>
          <w:sz w:val="26"/>
        </w:rPr>
        <w:t>臺，非洲為</w:t>
      </w:r>
      <w:r w:rsidRPr="00D15001">
        <w:rPr>
          <w:rFonts w:eastAsia="標楷體"/>
          <w:sz w:val="26"/>
        </w:rPr>
        <w:t>700</w:t>
      </w:r>
      <w:r w:rsidRPr="00D15001">
        <w:rPr>
          <w:rFonts w:eastAsia="標楷體" w:hint="eastAsia"/>
          <w:sz w:val="26"/>
        </w:rPr>
        <w:t>臺。亞洲做為工業機器人最大應用地區和生產地區，可預期未來亞洲將全面掀起機器人引領產業自動化的熱潮。</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兩岸製造業分業眾多，每個分業的行業特性不同，在自動化程度和自動化需求也不盡相同，所以僅能挑選特定行業進行討論。</w:t>
      </w:r>
      <w:r>
        <w:rPr>
          <w:rFonts w:eastAsia="標楷體" w:hint="eastAsia"/>
          <w:sz w:val="26"/>
        </w:rPr>
        <w:t>由於我國汽車產業在整車方面相對薄弱，僅汽車零組件具有特定規模，而全球</w:t>
      </w:r>
      <w:r w:rsidRPr="00D15001">
        <w:rPr>
          <w:rFonts w:eastAsia="標楷體" w:hint="eastAsia"/>
          <w:sz w:val="26"/>
        </w:rPr>
        <w:t>汽車產業自動化發展相對完整，</w:t>
      </w:r>
      <w:r>
        <w:rPr>
          <w:rFonts w:eastAsia="標楷體" w:hint="eastAsia"/>
          <w:sz w:val="26"/>
        </w:rPr>
        <w:t>對後進國家而言較無市場發揮空間，</w:t>
      </w:r>
      <w:r w:rsidRPr="00D15001">
        <w:rPr>
          <w:rFonts w:eastAsia="標楷體" w:hint="eastAsia"/>
          <w:sz w:val="26"/>
        </w:rPr>
        <w:t>所以在此不做討論。目前電子業為全球第二大工業機器人應用行業，僅次於汽車產業，近年來自動化議題受到熱烈討論，也是因中國大陸電子業對自動化需求所引起，再加上電子業為我國核心產業，因此將電子業列為討論對象。相較於電子業為高科技產業，食品業屬於傳統產業，在自動化需求與電子業全然不同，加上兩岸飲食文化相近，在分業製程較相似，因此兩岸食品業自動化有其探討的必要性。</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根據全球自動化演變趨勢，將自動化程度分為三類</w:t>
      </w:r>
      <w:r w:rsidRPr="00D15001">
        <w:rPr>
          <w:rFonts w:ascii="標楷體" w:eastAsia="標楷體" w:hAnsi="標楷體" w:hint="eastAsia"/>
          <w:sz w:val="26"/>
        </w:rPr>
        <w:t>：</w:t>
      </w:r>
      <w:r w:rsidRPr="00D15001">
        <w:rPr>
          <w:rFonts w:eastAsia="標楷體" w:hint="eastAsia"/>
          <w:sz w:val="26"/>
        </w:rPr>
        <w:t>第一，製造自動化（或稱傳統自動化），目的在於以機器取代人力，僅有機械單機動作，設備彼此間無串連；第二，資訊自動化，指生產設備和中央電腦連接，整廠資訊串流，生產過程即時管理；第三，人機協同概念，由於許多製程無法完全以機械取代人力，而是人類和機械同時作業最具效益，此為目前自動化最新發展趨勢。以下分別選定電子業和食品業做為代表性行業，並依據製造自動化、資訊自動化和人機協同三類自動化程度劃分，探討自動化趨勢對兩岸製造業競爭之影響。</w:t>
      </w:r>
    </w:p>
    <w:p w:rsidR="004163FA" w:rsidRPr="00DA5B83" w:rsidRDefault="004163FA" w:rsidP="00DA5B83">
      <w:pPr>
        <w:pStyle w:val="3"/>
        <w:spacing w:before="72" w:after="72"/>
        <w:rPr>
          <w:rFonts w:ascii="Times New Roman" w:hAnsi="Times New Roman"/>
        </w:rPr>
      </w:pPr>
      <w:r w:rsidRPr="00D15001">
        <w:rPr>
          <w:rFonts w:ascii="Times New Roman" w:hAnsi="Times New Roman" w:hint="eastAsia"/>
        </w:rPr>
        <w:lastRenderedPageBreak/>
        <w:t>壹、電子業自動化趨勢</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早期工業機器人的發展是因應汽車及其零組件業需求而生，目前全球四大機器人生產企業－日本</w:t>
      </w:r>
      <w:r w:rsidRPr="00D15001">
        <w:rPr>
          <w:rFonts w:eastAsia="標楷體"/>
          <w:sz w:val="26"/>
        </w:rPr>
        <w:t>FANUC</w:t>
      </w:r>
      <w:r w:rsidRPr="00D15001">
        <w:rPr>
          <w:rFonts w:eastAsia="標楷體" w:hint="eastAsia"/>
          <w:sz w:val="26"/>
        </w:rPr>
        <w:t>、安川電機、瑞士</w:t>
      </w:r>
      <w:r w:rsidRPr="00D15001">
        <w:rPr>
          <w:rFonts w:eastAsia="標楷體"/>
          <w:sz w:val="26"/>
        </w:rPr>
        <w:t>ABB</w:t>
      </w:r>
      <w:r w:rsidRPr="00D15001">
        <w:rPr>
          <w:rFonts w:eastAsia="標楷體" w:hint="eastAsia"/>
          <w:sz w:val="26"/>
        </w:rPr>
        <w:t>、德國</w:t>
      </w:r>
      <w:r w:rsidRPr="00D15001">
        <w:rPr>
          <w:rFonts w:eastAsia="標楷體"/>
          <w:sz w:val="26"/>
        </w:rPr>
        <w:t>KUKA</w:t>
      </w:r>
      <w:r w:rsidRPr="00D15001">
        <w:rPr>
          <w:rFonts w:eastAsia="標楷體" w:hint="eastAsia"/>
          <w:sz w:val="26"/>
        </w:rPr>
        <w:t>，而德國和日本都是因本身國內擁有強大的汽車工業需求而帶動機器人企業的發展。汽車工業自動化程度之所以領先其他行業，主要是由於其有產品生命週期長、產品特性較標準化、製造流程明確等行業特性，加上產品的體積重量為人力較難以負荷，而被廣泛應用於焊接和搬運等工作。電子業相較於汽車工業產品生命週期短、產品特性較難標準化，產品的體積重量為人力可負荷，使用人力有較高改變製程的彈性。其次，過去工業機器人價格較昂貴，對電子業組裝代工企業而言成本難以負荷。近年來由於中國大陸工資成本快速上漲，而工業機器人價格逐漸降低，兩者此消彼長作用下促使電子業對工業機器人需求快速升溫。再則，未來科技遠景為前端製造必須與終端消費者連結，這過程中必須透過機械和資訊串聯，創造新的價值鏈和生態系統，因此自動化成為目前電子業重要的發展關鍵。</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全球工業機器人裝置行業別來看，長期以來汽車工業一直是需求量最大的行業，機器人密度也比其他行業高出許多，其次是汽車零組件業，需求量也相當大。整體而言，汽車及其零組件為工業機器人最大需求行業。然而在</w:t>
      </w:r>
      <w:r w:rsidRPr="00D15001">
        <w:rPr>
          <w:rFonts w:eastAsia="標楷體"/>
          <w:sz w:val="26"/>
        </w:rPr>
        <w:t>2010</w:t>
      </w:r>
      <w:r w:rsidRPr="00D15001">
        <w:rPr>
          <w:rFonts w:eastAsia="標楷體" w:hint="eastAsia"/>
          <w:sz w:val="26"/>
        </w:rPr>
        <w:t>年以後電氣電子業（包含電腦和設備、無線電、電視和通信裝置和設備以及醫療、精密和光學儀器）需求量大幅增加，甚至在</w:t>
      </w:r>
      <w:r w:rsidRPr="00D15001">
        <w:rPr>
          <w:rFonts w:eastAsia="標楷體"/>
          <w:sz w:val="26"/>
        </w:rPr>
        <w:t>2010</w:t>
      </w:r>
      <w:r w:rsidRPr="00D15001">
        <w:rPr>
          <w:rFonts w:eastAsia="標楷體" w:hint="eastAsia"/>
          <w:sz w:val="26"/>
        </w:rPr>
        <w:t>年單一年度裝置數量超越汽車工業成為首位，</w:t>
      </w:r>
      <w:r w:rsidRPr="00D15001">
        <w:rPr>
          <w:rFonts w:eastAsia="標楷體"/>
          <w:sz w:val="26"/>
        </w:rPr>
        <w:t>2011</w:t>
      </w:r>
      <w:r w:rsidRPr="00D15001">
        <w:rPr>
          <w:rFonts w:eastAsia="標楷體" w:hint="eastAsia"/>
          <w:sz w:val="26"/>
        </w:rPr>
        <w:t>和</w:t>
      </w:r>
      <w:r w:rsidRPr="00D15001">
        <w:rPr>
          <w:rFonts w:eastAsia="標楷體"/>
          <w:sz w:val="26"/>
        </w:rPr>
        <w:t>2012</w:t>
      </w:r>
      <w:r w:rsidRPr="00D15001">
        <w:rPr>
          <w:rFonts w:eastAsia="標楷體" w:hint="eastAsia"/>
          <w:sz w:val="26"/>
        </w:rPr>
        <w:t>年需求量則僅次於汽車工業，為第二大應用行業。這改變了汽車及其零組件對工業機器人需求獨大的情況，顯示其他行業對工業機器人需求開始逐漸升溫，其中電氣電子業率先出現強勁需求。</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w:t>
      </w:r>
      <w:r w:rsidRPr="00D15001">
        <w:rPr>
          <w:rFonts w:eastAsia="標楷體"/>
          <w:sz w:val="26"/>
        </w:rPr>
        <w:t>2010</w:t>
      </w:r>
      <w:r w:rsidRPr="00D15001">
        <w:rPr>
          <w:rFonts w:eastAsia="標楷體" w:hint="eastAsia"/>
          <w:sz w:val="26"/>
        </w:rPr>
        <w:t>年後金融風暴時代，電子業工業機器人裝置量之所以迅速增加，與亞洲做為電子業最大的生產地區有密切的關係。受到金融風暴的衝</w:t>
      </w:r>
      <w:r w:rsidRPr="00D15001">
        <w:rPr>
          <w:rFonts w:eastAsia="標楷體" w:hint="eastAsia"/>
          <w:sz w:val="26"/>
        </w:rPr>
        <w:lastRenderedPageBreak/>
        <w:t>擊，亞洲電子業開始尋求轉型升級之路，因而自動化成為解決之道和發展目標。在這樣的大環境背景下，先瞭解兩岸電子業自動化現況，再探討兩岸電子業自動化競爭趨勢。</w:t>
      </w:r>
    </w:p>
    <w:p w:rsidR="004163FA" w:rsidRPr="00D15001" w:rsidRDefault="004163FA" w:rsidP="004163FA">
      <w:pPr>
        <w:keepNext/>
        <w:spacing w:beforeLines="20" w:before="72" w:afterLines="20" w:after="72"/>
        <w:jc w:val="both"/>
        <w:outlineLvl w:val="2"/>
        <w:rPr>
          <w:rFonts w:eastAsia="標楷體"/>
          <w:b/>
          <w:bCs/>
          <w:sz w:val="36"/>
          <w:szCs w:val="36"/>
          <w:lang w:val="x-none"/>
        </w:rPr>
      </w:pPr>
      <w:r w:rsidRPr="00D15001">
        <w:rPr>
          <w:rFonts w:eastAsia="標楷體"/>
          <w:b/>
          <w:bCs/>
          <w:sz w:val="36"/>
          <w:szCs w:val="36"/>
          <w:lang w:val="x-none" w:eastAsia="x-none"/>
        </w:rPr>
        <w:t>一、</w:t>
      </w:r>
      <w:r w:rsidRPr="00D15001">
        <w:rPr>
          <w:rFonts w:eastAsia="標楷體" w:hint="eastAsia"/>
          <w:b/>
          <w:bCs/>
          <w:sz w:val="36"/>
          <w:szCs w:val="36"/>
          <w:lang w:val="x-none"/>
        </w:rPr>
        <w:t>中國大陸現況</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電子業對自動化的需求旺盛是帶動自動化熱潮的主因之一。近年來受到勞動成本不斷提升、勞動力持續短缺等影響，中國大陸電子業面臨龐大轉型升級的壓力，各電子業廠商紛紛開始或加大投入生產線的製造自動化。但受限於電子行業特性，像是產品更新週期短、非規模化生產等，在推行自動化過程仍面臨許多困難待克服。</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從工業機器人來觀察自動化情況，中國大陸電子業的工業機器人主要應用於手機、電腦和零組件等產品，應用包含組裝、噴塗、工件搬運、加工、檢驗測試等製程。使用工業機器人有</w:t>
      </w:r>
      <w:r w:rsidRPr="00D15001">
        <w:rPr>
          <w:rFonts w:eastAsia="標楷體"/>
          <w:sz w:val="26"/>
        </w:rPr>
        <w:t>87%</w:t>
      </w:r>
      <w:r w:rsidRPr="00D15001">
        <w:rPr>
          <w:rFonts w:eastAsia="標楷體" w:hint="eastAsia"/>
          <w:sz w:val="26"/>
        </w:rPr>
        <w:t>為小型負載型（小於</w:t>
      </w:r>
      <w:r w:rsidRPr="00D15001">
        <w:rPr>
          <w:rFonts w:eastAsia="標楷體"/>
          <w:sz w:val="26"/>
        </w:rPr>
        <w:t>50</w:t>
      </w:r>
      <w:r w:rsidRPr="00D15001">
        <w:rPr>
          <w:rFonts w:eastAsia="標楷體" w:hint="eastAsia"/>
          <w:sz w:val="26"/>
        </w:rPr>
        <w:t>公斤），約一成為中型負載型（</w:t>
      </w:r>
      <w:r w:rsidRPr="00D15001">
        <w:rPr>
          <w:rFonts w:eastAsia="標楷體"/>
          <w:sz w:val="26"/>
        </w:rPr>
        <w:t>50-200</w:t>
      </w:r>
      <w:r w:rsidRPr="00D15001">
        <w:rPr>
          <w:rFonts w:eastAsia="標楷體" w:hint="eastAsia"/>
          <w:sz w:val="26"/>
        </w:rPr>
        <w:t>公斤），大型負載型（</w:t>
      </w:r>
      <w:r w:rsidRPr="00D15001">
        <w:rPr>
          <w:rFonts w:eastAsia="標楷體"/>
          <w:sz w:val="26"/>
        </w:rPr>
        <w:t>200-500</w:t>
      </w:r>
      <w:r w:rsidRPr="00D15001">
        <w:rPr>
          <w:rFonts w:eastAsia="標楷體" w:hint="eastAsia"/>
          <w:sz w:val="26"/>
        </w:rPr>
        <w:t>公斤）使用量則相當少。由於電子業屬於精密高的小型產品，需要在小空間內作業，對小型機器人需求度最高。</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在工業機器人使用機型方面，以直角坐標和</w:t>
      </w:r>
      <w:r w:rsidRPr="00D15001">
        <w:rPr>
          <w:rFonts w:eastAsia="標楷體"/>
          <w:sz w:val="26"/>
        </w:rPr>
        <w:t>SCARA</w:t>
      </w:r>
      <w:r w:rsidRPr="00D15001">
        <w:rPr>
          <w:rFonts w:eastAsia="標楷體" w:hint="eastAsia"/>
          <w:sz w:val="26"/>
        </w:rPr>
        <w:t>機器人為最大宗，分別約占七成和一成二，顯示單價低、簡單作動為電子業主要需求。尤其</w:t>
      </w:r>
      <w:r w:rsidRPr="00D15001">
        <w:rPr>
          <w:rFonts w:eastAsia="標楷體"/>
          <w:sz w:val="26"/>
        </w:rPr>
        <w:t>SCARA</w:t>
      </w:r>
      <w:r w:rsidRPr="00D15001">
        <w:rPr>
          <w:rFonts w:eastAsia="標楷體" w:hint="eastAsia"/>
          <w:sz w:val="26"/>
        </w:rPr>
        <w:t>機器人裝置數量成長相當快，該款機器人具有移動速度快、適合小空間作業等特性，常用於組裝、焊接和點膠等製程。而電子業第二大應用領域為物料操作，包含搬運、疊棧等製程，使用垂直多關節機器人（又稱機械手臂）居多。由此可知，中國大陸電子業工業機器人大部分使用在桌面製程，以機械取代人力進行簡單、重複性作業，而耗體力的搬運、疊棧等製程，相對使用量較少，為次要需求。</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由於中國大陸電子業絕大部分為產業鏈後段的組裝，屬於高度勞動密集型、低利潤率產業，在行業特性上的自動化限制更為明顯。像是智慧型</w:t>
      </w:r>
      <w:r w:rsidRPr="00D15001">
        <w:rPr>
          <w:rFonts w:eastAsia="標楷體" w:hint="eastAsia"/>
          <w:sz w:val="26"/>
        </w:rPr>
        <w:lastRenderedPageBreak/>
        <w:t>手持裝置每項產品設計不同、生產規模不足、產品更新換代快和產品小型，在導入自動化生產時有相當大的難度。而且電子組裝業利潤微薄，較難以負擔時常需換線的自動化設計成本。</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目前中國大陸電子組裝業對於自動化最迫切的需求在於，以機械取代人力操作簡單、重複性動作。以大陸臺商為例，富士康為全球最大的電子產品製造商，隨著廉價勞動力不復存在，</w:t>
      </w:r>
      <w:r w:rsidRPr="00D15001">
        <w:rPr>
          <w:rFonts w:eastAsia="標楷體"/>
          <w:sz w:val="26"/>
        </w:rPr>
        <w:t>2011</w:t>
      </w:r>
      <w:r w:rsidRPr="00D15001">
        <w:rPr>
          <w:rFonts w:eastAsia="標楷體" w:hint="eastAsia"/>
          <w:sz w:val="26"/>
        </w:rPr>
        <w:t>年展開百萬機器人大軍計劃，目標在</w:t>
      </w:r>
      <w:r w:rsidRPr="00D15001">
        <w:rPr>
          <w:rFonts w:eastAsia="標楷體"/>
          <w:sz w:val="26"/>
        </w:rPr>
        <w:t>5-10</w:t>
      </w:r>
      <w:r w:rsidRPr="00D15001">
        <w:rPr>
          <w:rFonts w:eastAsia="標楷體" w:hint="eastAsia"/>
          <w:sz w:val="26"/>
        </w:rPr>
        <w:t>年內實現首批全自動化工廠。預計使用自行生產的工業機器人在焊接、組裝和原配料搬運等製程，透過自動化完成簡單重複性工序。</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和碩聯合科技公司重慶廠為東芝和惠普等公司生產電腦，組裝工作主要仍使用人力，但隨著勞動成本</w:t>
      </w:r>
      <w:r>
        <w:rPr>
          <w:rFonts w:eastAsia="標楷體" w:hint="eastAsia"/>
          <w:sz w:val="26"/>
        </w:rPr>
        <w:t>提升</w:t>
      </w:r>
      <w:r w:rsidRPr="00D15001">
        <w:rPr>
          <w:rFonts w:eastAsia="標楷體" w:hint="eastAsia"/>
          <w:sz w:val="26"/>
        </w:rPr>
        <w:t>壓力越來越大，在</w:t>
      </w:r>
      <w:r w:rsidRPr="00D15001">
        <w:rPr>
          <w:rFonts w:eastAsia="標楷體"/>
          <w:sz w:val="26"/>
        </w:rPr>
        <w:t>2013</w:t>
      </w:r>
      <w:r w:rsidRPr="00D15001">
        <w:rPr>
          <w:rFonts w:eastAsia="標楷體" w:hint="eastAsia"/>
          <w:sz w:val="26"/>
        </w:rPr>
        <w:t>年</w:t>
      </w:r>
      <w:r w:rsidRPr="00D15001">
        <w:rPr>
          <w:rFonts w:eastAsia="標楷體"/>
          <w:sz w:val="26"/>
        </w:rPr>
        <w:t>11</w:t>
      </w:r>
      <w:r w:rsidRPr="00D15001">
        <w:rPr>
          <w:rFonts w:eastAsia="標楷體" w:hint="eastAsia"/>
          <w:sz w:val="26"/>
        </w:rPr>
        <w:t>月也開始裝置簡單的工業機器人，轉向機械化生產。該公司主管表示雖然每裝置</w:t>
      </w:r>
      <w:r w:rsidRPr="00D15001">
        <w:rPr>
          <w:rFonts w:eastAsia="標楷體"/>
          <w:sz w:val="26"/>
        </w:rPr>
        <w:t>6</w:t>
      </w:r>
      <w:r w:rsidRPr="00D15001">
        <w:rPr>
          <w:rFonts w:eastAsia="標楷體" w:hint="eastAsia"/>
          <w:sz w:val="26"/>
        </w:rPr>
        <w:t>臺機器人只能替代半個工人的工作量，要實現完全自動化相當困難，但還是必須嘗試先從某些標準化零件產線開始導入機器人。目標透過自動化生產提高</w:t>
      </w:r>
      <w:r w:rsidRPr="00D15001">
        <w:rPr>
          <w:rFonts w:eastAsia="標楷體"/>
          <w:sz w:val="26"/>
        </w:rPr>
        <w:t>10~20%</w:t>
      </w:r>
      <w:r w:rsidRPr="00D15001">
        <w:rPr>
          <w:rFonts w:eastAsia="標楷體" w:hint="eastAsia"/>
          <w:sz w:val="26"/>
        </w:rPr>
        <w:t>的生產效率，目前已開始將機器人用於組裝筆記型電腦的螢幕。</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廣達電腦公司為蘋果和惠普等品牌代工製造筆記型電腦和平板電腦，該公司也表示已經在組裝外的製程進行最大的自動化導入，如產品包裝、設備測試和搬運入庫等製程。在組裝方面，很少電子產品有足夠大的生產規模以符合成本效益的自動化生產。</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電</w:t>
      </w:r>
      <w:r>
        <w:rPr>
          <w:rFonts w:eastAsia="標楷體" w:hint="eastAsia"/>
          <w:sz w:val="26"/>
        </w:rPr>
        <w:t>子業除了產品組裝外，在模具配件相對容易實現自動化生產，像是東莞鉅</w:t>
      </w:r>
      <w:r w:rsidRPr="00D15001">
        <w:rPr>
          <w:rFonts w:eastAsia="標楷體" w:hint="eastAsia"/>
          <w:sz w:val="26"/>
        </w:rPr>
        <w:t>升塑膠電子製品有限公司為一家於</w:t>
      </w:r>
      <w:r w:rsidRPr="00D15001">
        <w:rPr>
          <w:rFonts w:eastAsia="標楷體"/>
          <w:sz w:val="26"/>
        </w:rPr>
        <w:t>1995</w:t>
      </w:r>
      <w:r>
        <w:rPr>
          <w:rFonts w:eastAsia="標楷體" w:hint="eastAsia"/>
          <w:sz w:val="26"/>
        </w:rPr>
        <w:t>年成立的港資企業，</w:t>
      </w:r>
      <w:r w:rsidRPr="00D15001">
        <w:rPr>
          <w:rFonts w:eastAsia="標楷體" w:hint="eastAsia"/>
          <w:sz w:val="26"/>
        </w:rPr>
        <w:t>資本額人民幣</w:t>
      </w:r>
      <w:r w:rsidRPr="00D15001">
        <w:rPr>
          <w:rFonts w:eastAsia="標楷體"/>
          <w:sz w:val="26"/>
        </w:rPr>
        <w:t>1</w:t>
      </w:r>
      <w:r>
        <w:rPr>
          <w:rFonts w:eastAsia="標楷體" w:hint="eastAsia"/>
          <w:sz w:val="26"/>
        </w:rPr>
        <w:t>.3</w:t>
      </w:r>
      <w:r>
        <w:rPr>
          <w:rFonts w:eastAsia="標楷體" w:hint="eastAsia"/>
          <w:sz w:val="26"/>
        </w:rPr>
        <w:t>億</w:t>
      </w:r>
      <w:r w:rsidRPr="00D15001">
        <w:rPr>
          <w:rFonts w:eastAsia="標楷體" w:hint="eastAsia"/>
          <w:sz w:val="26"/>
        </w:rPr>
        <w:t>元，員工數約</w:t>
      </w:r>
      <w:r w:rsidRPr="00D15001">
        <w:rPr>
          <w:rFonts w:eastAsia="標楷體"/>
          <w:sz w:val="26"/>
        </w:rPr>
        <w:t>2,000</w:t>
      </w:r>
      <w:r w:rsidRPr="00D15001">
        <w:rPr>
          <w:rFonts w:eastAsia="標楷體" w:hint="eastAsia"/>
          <w:sz w:val="26"/>
        </w:rPr>
        <w:t>人，</w:t>
      </w:r>
      <w:r w:rsidRPr="00D15001">
        <w:rPr>
          <w:rFonts w:eastAsia="標楷體"/>
          <w:sz w:val="26"/>
        </w:rPr>
        <w:t>2013</w:t>
      </w:r>
      <w:r w:rsidRPr="00D15001">
        <w:rPr>
          <w:rFonts w:eastAsia="標楷體" w:hint="eastAsia"/>
          <w:sz w:val="26"/>
        </w:rPr>
        <w:t>年營收總額人民幣</w:t>
      </w:r>
      <w:r w:rsidRPr="00D15001">
        <w:rPr>
          <w:rFonts w:eastAsia="標楷體"/>
          <w:sz w:val="26"/>
        </w:rPr>
        <w:t>6</w:t>
      </w:r>
      <w:r>
        <w:rPr>
          <w:rFonts w:eastAsia="標楷體" w:hint="eastAsia"/>
          <w:sz w:val="26"/>
        </w:rPr>
        <w:t>億</w:t>
      </w:r>
      <w:r w:rsidRPr="00D15001">
        <w:rPr>
          <w:rFonts w:eastAsia="標楷體" w:hint="eastAsia"/>
          <w:sz w:val="26"/>
        </w:rPr>
        <w:t>元。提供客戶一條龍服務，包含產品設計、模具設計、注塑成型、塗裝、印刷組裝和貨運等服務。主要產品有高端精密模具製造、精密結構物件生產、產品表面處理等。該公司從機殼的製膜、模具檢測到運用模具生產，都全部使用機器人運作，由於機器人加工生產的模具精度高，有三分之一產品</w:t>
      </w:r>
      <w:r w:rsidRPr="00D15001">
        <w:rPr>
          <w:rFonts w:eastAsia="標楷體" w:hint="eastAsia"/>
          <w:sz w:val="26"/>
        </w:rPr>
        <w:lastRenderedPageBreak/>
        <w:t>供應其他同業使用。</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總而言之，中國大陸電子業難以實現</w:t>
      </w:r>
      <w:r>
        <w:rPr>
          <w:rFonts w:eastAsia="標楷體" w:hint="eastAsia"/>
          <w:sz w:val="26"/>
        </w:rPr>
        <w:t>全機械</w:t>
      </w:r>
      <w:r w:rsidRPr="00D15001">
        <w:rPr>
          <w:rFonts w:eastAsia="標楷體" w:hint="eastAsia"/>
          <w:sz w:val="26"/>
        </w:rPr>
        <w:t>自動化生產的原因在於，產業過於集中在組裝行業。不若日韓等國家為高端電子零組件供應商，如記憶晶片和液晶顯示器等，其穩定設計</w:t>
      </w:r>
      <w:r>
        <w:rPr>
          <w:rFonts w:eastAsia="標楷體" w:hint="eastAsia"/>
          <w:sz w:val="26"/>
        </w:rPr>
        <w:t>、生命週期較長</w:t>
      </w:r>
      <w:r w:rsidRPr="00D15001">
        <w:rPr>
          <w:rFonts w:eastAsia="標楷體" w:hint="eastAsia"/>
          <w:sz w:val="26"/>
        </w:rPr>
        <w:t>和高利潤率行業特性，較容易實現</w:t>
      </w:r>
      <w:r>
        <w:rPr>
          <w:rFonts w:eastAsia="標楷體" w:hint="eastAsia"/>
          <w:sz w:val="26"/>
        </w:rPr>
        <w:t>全</w:t>
      </w:r>
      <w:r w:rsidRPr="00D15001">
        <w:rPr>
          <w:rFonts w:eastAsia="標楷體" w:hint="eastAsia"/>
          <w:sz w:val="26"/>
        </w:rPr>
        <w:t>自動化生產。</w:t>
      </w:r>
      <w:r>
        <w:rPr>
          <w:rFonts w:eastAsia="標楷體" w:hint="eastAsia"/>
          <w:sz w:val="26"/>
        </w:rPr>
        <w:t>中國大陸電子組裝業自動化目前</w:t>
      </w:r>
      <w:r w:rsidRPr="00D15001">
        <w:rPr>
          <w:rFonts w:eastAsia="標楷體" w:hint="eastAsia"/>
          <w:sz w:val="26"/>
        </w:rPr>
        <w:t>是朝製造自動化</w:t>
      </w:r>
      <w:r>
        <w:rPr>
          <w:rFonts w:eastAsia="標楷體" w:hint="eastAsia"/>
          <w:sz w:val="26"/>
        </w:rPr>
        <w:t>發展，受限於</w:t>
      </w:r>
      <w:r w:rsidRPr="00D15001">
        <w:rPr>
          <w:rFonts w:eastAsia="標楷體" w:hint="eastAsia"/>
          <w:sz w:val="26"/>
        </w:rPr>
        <w:t>行業特性</w:t>
      </w:r>
      <w:r>
        <w:rPr>
          <w:rFonts w:eastAsia="標楷體" w:hint="eastAsia"/>
          <w:sz w:val="26"/>
        </w:rPr>
        <w:t>，在重新調整製程時若無法實現全自動化的部分，則彈性改採人機協同方式。此外，電子業自動化</w:t>
      </w:r>
      <w:r w:rsidRPr="00D15001">
        <w:rPr>
          <w:rFonts w:eastAsia="標楷體" w:hint="eastAsia"/>
          <w:sz w:val="26"/>
        </w:rPr>
        <w:t>對工業機器人的需求會是簡單、低價格的機型。</w:t>
      </w:r>
    </w:p>
    <w:p w:rsidR="004163FA" w:rsidRPr="00D15001" w:rsidRDefault="004163FA" w:rsidP="004163FA">
      <w:pPr>
        <w:keepNext/>
        <w:spacing w:beforeLines="20" w:before="72" w:afterLines="20" w:after="72"/>
        <w:jc w:val="both"/>
        <w:outlineLvl w:val="2"/>
        <w:rPr>
          <w:rFonts w:eastAsia="標楷體"/>
          <w:b/>
          <w:bCs/>
          <w:sz w:val="36"/>
          <w:szCs w:val="36"/>
          <w:lang w:val="x-none"/>
        </w:rPr>
      </w:pPr>
      <w:r w:rsidRPr="00D15001">
        <w:rPr>
          <w:rFonts w:eastAsia="標楷體" w:hint="eastAsia"/>
          <w:b/>
          <w:bCs/>
          <w:sz w:val="36"/>
          <w:szCs w:val="36"/>
          <w:lang w:val="x-none"/>
        </w:rPr>
        <w:t>二</w:t>
      </w:r>
      <w:r w:rsidRPr="00D15001">
        <w:rPr>
          <w:rFonts w:eastAsia="標楷體"/>
          <w:b/>
          <w:bCs/>
          <w:sz w:val="36"/>
          <w:szCs w:val="36"/>
          <w:lang w:val="x-none" w:eastAsia="x-none"/>
        </w:rPr>
        <w:t>、</w:t>
      </w:r>
      <w:r w:rsidRPr="00D15001">
        <w:rPr>
          <w:rFonts w:eastAsia="標楷體" w:hint="eastAsia"/>
          <w:b/>
          <w:bCs/>
          <w:sz w:val="36"/>
          <w:szCs w:val="36"/>
          <w:lang w:val="x-none"/>
        </w:rPr>
        <w:t>臺灣現況</w:t>
      </w:r>
    </w:p>
    <w:p w:rsidR="004163FA" w:rsidRDefault="004163FA" w:rsidP="004163FA">
      <w:pPr>
        <w:tabs>
          <w:tab w:val="center" w:pos="4413"/>
        </w:tabs>
        <w:spacing w:beforeLines="30" w:before="108" w:afterLines="30" w:after="108" w:line="520" w:lineRule="exact"/>
        <w:ind w:firstLineChars="200" w:firstLine="520"/>
        <w:jc w:val="both"/>
        <w:rPr>
          <w:rFonts w:eastAsia="標楷體"/>
          <w:sz w:val="26"/>
        </w:rPr>
      </w:pPr>
      <w:r w:rsidRPr="00D15001">
        <w:rPr>
          <w:rFonts w:eastAsia="標楷體" w:hint="eastAsia"/>
          <w:sz w:val="26"/>
        </w:rPr>
        <w:t>臺灣電子業過去曾以廉價勞動力做為競爭條件，為歐美業者便宜代工和組裝生產，由於組裝代工賺取的利潤相當微薄，使臺灣製造業者練就一套對成本管控相當嚴謹的生產能力。後來隨著經濟發展，臺灣勞動成本不斷上升，使得許多臺商轉戰中國大陸尋求便宜的勞動力和土地。近年來中國大陸也面臨過去和臺灣相同的情況，生產要素價格不斷提升，不在以廉價勞動力做為競爭條件。一部分臺商選擇再轉往東南亞繼續使用低廉生產要素的製造模式，</w:t>
      </w:r>
      <w:r>
        <w:rPr>
          <w:rFonts w:eastAsia="標楷體" w:hint="eastAsia"/>
          <w:sz w:val="26"/>
        </w:rPr>
        <w:t>另一部分臺商則選擇朝自動化發展，從根本尋求解決之道。</w:t>
      </w:r>
    </w:p>
    <w:p w:rsidR="004163FA" w:rsidRPr="00D15001" w:rsidRDefault="004163FA" w:rsidP="004163FA">
      <w:pPr>
        <w:tabs>
          <w:tab w:val="center" w:pos="4413"/>
        </w:tabs>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臺灣電子業大都集中在產業鏈上中游，如半導體設計和製造業。半導體產業本就是高度自動化行業，有自己的行業通訊規範，除了在製造自動化具有一定水準，由於機械設備皆符合共同標準協定，在導入資訊自動化就相當容易。而目前電子業後端組裝絕大部分在中國大陸進行，近年來受到中國大陸製造業情勢改變的影響，部分業者開始著力於此製程的自動化，並嘗試將部分產線移回臺灣。</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以觸控面板業來看，由於面板業前段製程已相對成熟，要差異化和具競爭力，需要靠後段模組。群創推動臺灣面板業「再工業化」，將</w:t>
      </w:r>
      <w:r w:rsidRPr="00D15001">
        <w:rPr>
          <w:rFonts w:eastAsia="標楷體"/>
          <w:sz w:val="26"/>
        </w:rPr>
        <w:t>TFT</w:t>
      </w:r>
      <w:r w:rsidRPr="00D15001">
        <w:rPr>
          <w:rFonts w:eastAsia="標楷體" w:hint="eastAsia"/>
          <w:sz w:val="26"/>
        </w:rPr>
        <w:t>面</w:t>
      </w:r>
      <w:r w:rsidRPr="00D15001">
        <w:rPr>
          <w:rFonts w:eastAsia="標楷體" w:hint="eastAsia"/>
          <w:sz w:val="26"/>
        </w:rPr>
        <w:lastRenderedPageBreak/>
        <w:t>板、後段模組及觸控模組回臺就地製造，首創觸控一條龍產線。將完成中段面板製程之半成品（</w:t>
      </w:r>
      <w:r w:rsidRPr="00D15001">
        <w:rPr>
          <w:rFonts w:eastAsia="標楷體"/>
          <w:sz w:val="26"/>
        </w:rPr>
        <w:t>Open cell</w:t>
      </w:r>
      <w:r w:rsidRPr="00D15001">
        <w:rPr>
          <w:rFonts w:eastAsia="標楷體" w:hint="eastAsia"/>
          <w:sz w:val="26"/>
        </w:rPr>
        <w:t>）依據市場銷售對象不同，選擇後段模組之組裝地，若銷售至中國大陸市場則依舊在當地組裝，若是銷售至其它地區則直接在臺灣組裝。因此規劃將在中國大陸</w:t>
      </w:r>
      <w:r w:rsidRPr="00D15001">
        <w:rPr>
          <w:rFonts w:eastAsia="標楷體"/>
          <w:sz w:val="26"/>
        </w:rPr>
        <w:t>25-30%</w:t>
      </w:r>
      <w:r w:rsidRPr="00D15001">
        <w:rPr>
          <w:rFonts w:eastAsia="標楷體" w:hint="eastAsia"/>
          <w:sz w:val="26"/>
        </w:rPr>
        <w:t>生產線移回臺灣，導入自動化生產，縮短製程、提高良率。該公司為了因應生產線自動化需求，對培養自動化技術所需人才相當積極，與日商</w:t>
      </w:r>
      <w:r w:rsidRPr="00D15001">
        <w:rPr>
          <w:rFonts w:eastAsia="標楷體"/>
          <w:sz w:val="26"/>
        </w:rPr>
        <w:t>Epson</w:t>
      </w:r>
      <w:r w:rsidRPr="00D15001">
        <w:rPr>
          <w:rFonts w:eastAsia="標楷體" w:hint="eastAsia"/>
          <w:sz w:val="26"/>
        </w:rPr>
        <w:t>機器人合作，共同打造亞洲第一個自動化實驗室，以及與四家技職學校合作培養自動化人才。</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明基友達集團董事長李焜耀表示，由於中國大陸工資高漲和缺工問題，也開始著手規劃將高階產品移回臺灣生產，例如</w:t>
      </w:r>
      <w:r w:rsidRPr="00D15001">
        <w:rPr>
          <w:rFonts w:eastAsia="標楷體"/>
          <w:sz w:val="26"/>
        </w:rPr>
        <w:t>65</w:t>
      </w:r>
      <w:r w:rsidRPr="00D15001">
        <w:rPr>
          <w:rFonts w:eastAsia="標楷體" w:hint="eastAsia"/>
          <w:sz w:val="26"/>
        </w:rPr>
        <w:t>吋面板從前段薄膜（</w:t>
      </w:r>
      <w:r w:rsidRPr="00D15001">
        <w:rPr>
          <w:rFonts w:eastAsia="標楷體"/>
          <w:sz w:val="26"/>
        </w:rPr>
        <w:t>array</w:t>
      </w:r>
      <w:r w:rsidRPr="00D15001">
        <w:rPr>
          <w:rFonts w:eastAsia="標楷體" w:hint="eastAsia"/>
          <w:sz w:val="26"/>
        </w:rPr>
        <w:t>）、中段面板（</w:t>
      </w:r>
      <w:r w:rsidRPr="00D15001">
        <w:rPr>
          <w:rFonts w:eastAsia="標楷體"/>
          <w:sz w:val="26"/>
        </w:rPr>
        <w:t>cell</w:t>
      </w:r>
      <w:r w:rsidRPr="00D15001">
        <w:rPr>
          <w:rFonts w:eastAsia="標楷體" w:hint="eastAsia"/>
          <w:sz w:val="26"/>
        </w:rPr>
        <w:t>）到後段模組製程都是在臺灣生產。希望藉由自動化設備減少人力需求和降低成本，但生產線自動化不單只是裝置機器人，還需重新調整生產流程</w:t>
      </w:r>
      <w:r>
        <w:rPr>
          <w:rFonts w:eastAsia="標楷體" w:hint="eastAsia"/>
          <w:sz w:val="26"/>
        </w:rPr>
        <w:t>，需要耗費許多人力、物力和時間</w:t>
      </w:r>
      <w:r w:rsidRPr="00D15001">
        <w:rPr>
          <w:rFonts w:eastAsia="標楷體" w:hint="eastAsia"/>
          <w:sz w:val="26"/>
        </w:rPr>
        <w:t>。</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此外，許多電子大廠紛紛加大投入產線自動化或者跨足自動化產業。</w:t>
      </w:r>
      <w:r w:rsidRPr="00D15001">
        <w:rPr>
          <w:rFonts w:eastAsia="標楷體"/>
          <w:sz w:val="26"/>
        </w:rPr>
        <w:t>2013</w:t>
      </w:r>
      <w:r w:rsidRPr="00D15001">
        <w:rPr>
          <w:rFonts w:eastAsia="標楷體" w:hint="eastAsia"/>
          <w:sz w:val="26"/>
        </w:rPr>
        <w:t>年廣達董事長林百里在股東會年報上，宣</w:t>
      </w:r>
      <w:r>
        <w:rPr>
          <w:rFonts w:eastAsia="標楷體" w:hint="eastAsia"/>
          <w:sz w:val="26"/>
        </w:rPr>
        <w:t>布</w:t>
      </w:r>
      <w:r w:rsidRPr="00D15001">
        <w:rPr>
          <w:rFonts w:eastAsia="標楷體"/>
          <w:sz w:val="26"/>
        </w:rPr>
        <w:t>2013</w:t>
      </w:r>
      <w:r w:rsidRPr="00D15001">
        <w:rPr>
          <w:rFonts w:eastAsia="標楷體" w:hint="eastAsia"/>
          <w:sz w:val="26"/>
        </w:rPr>
        <w:t>年為自動化元年，指出生產線上單純、重複動作的工序將被自動化設備取代。該公司把部分組裝、測試工作改由機器取代，目標在一年內省下</w:t>
      </w:r>
      <w:r w:rsidRPr="00D15001">
        <w:rPr>
          <w:rFonts w:eastAsia="標楷體"/>
          <w:sz w:val="26"/>
        </w:rPr>
        <w:t>15%</w:t>
      </w:r>
      <w:r w:rsidRPr="00D15001">
        <w:rPr>
          <w:rFonts w:eastAsia="標楷體" w:hint="eastAsia"/>
          <w:sz w:val="26"/>
        </w:rPr>
        <w:t>人力。仁寶電腦已有百臺無人搬運車應用於生產線上。</w:t>
      </w:r>
    </w:p>
    <w:p w:rsidR="004163FA" w:rsidRPr="00D15001" w:rsidRDefault="004163FA" w:rsidP="004163FA">
      <w:pPr>
        <w:spacing w:beforeLines="30" w:before="108" w:afterLines="30" w:after="108" w:line="520" w:lineRule="exact"/>
        <w:ind w:firstLineChars="200" w:firstLine="520"/>
        <w:jc w:val="both"/>
        <w:rPr>
          <w:rFonts w:eastAsia="標楷體"/>
          <w:color w:val="000000"/>
          <w:sz w:val="26"/>
          <w:lang w:val="x-none"/>
        </w:rPr>
      </w:pPr>
      <w:r w:rsidRPr="00D15001">
        <w:rPr>
          <w:rFonts w:eastAsia="標楷體" w:hint="eastAsia"/>
          <w:color w:val="000000"/>
          <w:sz w:val="26"/>
          <w:lang w:val="x-none"/>
        </w:rPr>
        <w:t>從自動化供應面來看，臺灣自動化產業上游關鍵零組件只有伺服電機具有競爭力，在控制器和減速機方面相對薄弱。近年來自動化和機器人產業受到矚目，除了產業鏈相關業者紛紛投入機器人研發和經營自動化應用業務外，許多電子業者也跨足機器人領域，最具代表性為鴻海。</w:t>
      </w:r>
    </w:p>
    <w:p w:rsidR="004163FA" w:rsidRPr="00D15001" w:rsidRDefault="004163FA" w:rsidP="004163FA">
      <w:pPr>
        <w:spacing w:beforeLines="30" w:before="108" w:afterLines="30" w:after="108" w:line="520" w:lineRule="exact"/>
        <w:ind w:firstLineChars="200" w:firstLine="520"/>
        <w:jc w:val="both"/>
        <w:rPr>
          <w:rFonts w:eastAsia="標楷體"/>
          <w:color w:val="000000"/>
          <w:sz w:val="26"/>
          <w:lang w:val="x-none"/>
        </w:rPr>
      </w:pPr>
      <w:r w:rsidRPr="00D15001">
        <w:rPr>
          <w:rFonts w:eastAsia="標楷體" w:hint="eastAsia"/>
          <w:color w:val="000000"/>
          <w:sz w:val="26"/>
          <w:lang w:val="x-none"/>
        </w:rPr>
        <w:t>在產業鏈相關業者方面，如上銀、研華、</w:t>
      </w:r>
      <w:r>
        <w:rPr>
          <w:rFonts w:eastAsia="標楷體" w:hint="eastAsia"/>
          <w:sz w:val="26"/>
        </w:rPr>
        <w:t>台達</w:t>
      </w:r>
      <w:r w:rsidRPr="00D15001">
        <w:rPr>
          <w:rFonts w:eastAsia="標楷體" w:hint="eastAsia"/>
          <w:sz w:val="26"/>
        </w:rPr>
        <w:t>電等</w:t>
      </w:r>
      <w:r w:rsidRPr="00D15001">
        <w:rPr>
          <w:rFonts w:eastAsia="標楷體" w:hint="eastAsia"/>
          <w:color w:val="000000"/>
          <w:sz w:val="26"/>
          <w:lang w:val="x-none"/>
        </w:rPr>
        <w:t>。</w:t>
      </w:r>
      <w:r w:rsidRPr="00D15001">
        <w:rPr>
          <w:rFonts w:eastAsia="標楷體" w:hint="eastAsia"/>
          <w:sz w:val="26"/>
        </w:rPr>
        <w:t>上銀在工業機器人方面已是全球單軸機器人的最大廠商，近年來努力發展多軸機器人，且非從汽車產業切入，而是聚焦輕工業如電子業、食品業、紡織業等應用。</w:t>
      </w:r>
      <w:r w:rsidRPr="00D15001">
        <w:rPr>
          <w:rFonts w:eastAsia="標楷體"/>
          <w:sz w:val="26"/>
        </w:rPr>
        <w:t>2013</w:t>
      </w:r>
      <w:r w:rsidRPr="00D15001">
        <w:rPr>
          <w:rFonts w:eastAsia="標楷體" w:hint="eastAsia"/>
          <w:sz w:val="26"/>
        </w:rPr>
        <w:t>年推出六軸垂直多關節機器人、晶圓機器人，以及原有的</w:t>
      </w:r>
      <w:r w:rsidRPr="00D15001">
        <w:rPr>
          <w:rFonts w:eastAsia="標楷體"/>
          <w:sz w:val="26"/>
        </w:rPr>
        <w:t>Delta</w:t>
      </w:r>
      <w:r w:rsidRPr="00D15001">
        <w:rPr>
          <w:rFonts w:eastAsia="標楷體" w:hint="eastAsia"/>
          <w:sz w:val="26"/>
        </w:rPr>
        <w:t>和</w:t>
      </w:r>
      <w:r w:rsidRPr="00D15001">
        <w:rPr>
          <w:rFonts w:eastAsia="標楷體"/>
          <w:sz w:val="26"/>
        </w:rPr>
        <w:t>SCARA</w:t>
      </w:r>
      <w:r w:rsidRPr="00D15001">
        <w:rPr>
          <w:rFonts w:eastAsia="標楷體" w:hint="eastAsia"/>
          <w:sz w:val="26"/>
        </w:rPr>
        <w:t>機器人，專攻輕工業的中小型企業市場，凡採購設備即提供免費</w:t>
      </w:r>
      <w:r w:rsidRPr="00D15001">
        <w:rPr>
          <w:rFonts w:eastAsia="標楷體" w:hint="eastAsia"/>
          <w:sz w:val="26"/>
        </w:rPr>
        <w:lastRenderedPageBreak/>
        <w:t>的系統整合服務，走向製造服務化的發展模式。而六軸垂直多關節機器人零組件國產化比例為四成，</w:t>
      </w:r>
      <w:r w:rsidRPr="00D15001">
        <w:rPr>
          <w:rFonts w:eastAsia="標楷體"/>
          <w:sz w:val="26"/>
        </w:rPr>
        <w:t>Delta</w:t>
      </w:r>
      <w:r w:rsidRPr="00D15001">
        <w:rPr>
          <w:rFonts w:eastAsia="標楷體" w:hint="eastAsia"/>
          <w:sz w:val="26"/>
        </w:rPr>
        <w:t>機器人</w:t>
      </w:r>
      <w:r>
        <w:rPr>
          <w:rStyle w:val="aff0"/>
          <w:sz w:val="26"/>
        </w:rPr>
        <w:footnoteReference w:id="45"/>
      </w:r>
      <w:r w:rsidRPr="00D15001">
        <w:rPr>
          <w:rFonts w:eastAsia="標楷體" w:hint="eastAsia"/>
          <w:sz w:val="26"/>
        </w:rPr>
        <w:t>零組件國產化比例為九成。</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研華為工業電腦大廠，在</w:t>
      </w:r>
      <w:r w:rsidRPr="00D15001">
        <w:rPr>
          <w:rFonts w:eastAsia="標楷體"/>
          <w:sz w:val="26"/>
        </w:rPr>
        <w:t>2013</w:t>
      </w:r>
      <w:r w:rsidRPr="00D15001">
        <w:rPr>
          <w:rFonts w:eastAsia="標楷體" w:hint="eastAsia"/>
          <w:sz w:val="26"/>
        </w:rPr>
        <w:t>年</w:t>
      </w:r>
      <w:r w:rsidRPr="00D15001">
        <w:rPr>
          <w:rFonts w:eastAsia="標楷體"/>
          <w:sz w:val="26"/>
        </w:rPr>
        <w:t>8</w:t>
      </w:r>
      <w:r w:rsidRPr="00D15001">
        <w:rPr>
          <w:rFonts w:eastAsia="標楷體" w:hint="eastAsia"/>
          <w:sz w:val="26"/>
        </w:rPr>
        <w:t>月併購寶元數控，跨足工業控制器領域，不僅強化既有的工廠自動化和工業機器人市場，也將進一步擴展智慧應用領域。寶元數控具有研發工具機內嵌式機器人控制器的能量，為臺灣控制器第一品牌，但全球市占率僅</w:t>
      </w:r>
      <w:r w:rsidRPr="00D15001">
        <w:rPr>
          <w:rFonts w:eastAsia="標楷體"/>
          <w:sz w:val="26"/>
        </w:rPr>
        <w:t>2%</w:t>
      </w:r>
      <w:r w:rsidRPr="00D15001">
        <w:rPr>
          <w:rFonts w:eastAsia="標楷體" w:hint="eastAsia"/>
          <w:sz w:val="26"/>
        </w:rPr>
        <w:t>，遠低於日本</w:t>
      </w:r>
      <w:r w:rsidRPr="00D15001">
        <w:rPr>
          <w:rFonts w:eastAsia="標楷體"/>
          <w:sz w:val="26"/>
        </w:rPr>
        <w:t>Fanuc</w:t>
      </w:r>
      <w:r w:rsidRPr="00D15001">
        <w:rPr>
          <w:rFonts w:eastAsia="標楷體" w:hint="eastAsia"/>
          <w:sz w:val="26"/>
        </w:rPr>
        <w:t>和德國西門子，此兩大品牌全球市占率約七成。未來仍有很大的努力空間。</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sz w:val="26"/>
        </w:rPr>
        <w:t>2014</w:t>
      </w:r>
      <w:r w:rsidRPr="00D15001">
        <w:rPr>
          <w:rFonts w:eastAsia="標楷體" w:hint="eastAsia"/>
          <w:sz w:val="26"/>
        </w:rPr>
        <w:t>年</w:t>
      </w:r>
      <w:r w:rsidRPr="00D15001">
        <w:rPr>
          <w:rFonts w:eastAsia="標楷體"/>
          <w:sz w:val="26"/>
        </w:rPr>
        <w:t>7</w:t>
      </w:r>
      <w:r w:rsidRPr="00D15001">
        <w:rPr>
          <w:rFonts w:eastAsia="標楷體" w:hint="eastAsia"/>
          <w:sz w:val="26"/>
        </w:rPr>
        <w:t>月上銀和研華宣</w:t>
      </w:r>
      <w:r>
        <w:rPr>
          <w:rFonts w:eastAsia="標楷體" w:hint="eastAsia"/>
          <w:sz w:val="26"/>
        </w:rPr>
        <w:t>布</w:t>
      </w:r>
      <w:r w:rsidRPr="00D15001">
        <w:rPr>
          <w:rFonts w:eastAsia="標楷體" w:hint="eastAsia"/>
          <w:sz w:val="26"/>
        </w:rPr>
        <w:t>共同締結策略聯盟，整合研華的控制器、工業電腦和機器視覺，以及上銀的機械手臂、伺服馬達、驅動器、致動裝置、傳動元件等，提供客製化的智慧自動化和機器人解決方案。</w:t>
      </w:r>
    </w:p>
    <w:p w:rsidR="004163FA" w:rsidRPr="00D15001" w:rsidRDefault="004163FA" w:rsidP="004163FA">
      <w:pPr>
        <w:spacing w:beforeLines="30" w:before="108" w:afterLines="30" w:after="108" w:line="520" w:lineRule="exact"/>
        <w:ind w:firstLineChars="200" w:firstLine="520"/>
        <w:jc w:val="both"/>
        <w:rPr>
          <w:rFonts w:eastAsia="標楷體"/>
          <w:sz w:val="26"/>
        </w:rPr>
      </w:pPr>
      <w:r>
        <w:rPr>
          <w:rFonts w:eastAsia="標楷體" w:hint="eastAsia"/>
          <w:sz w:val="26"/>
        </w:rPr>
        <w:t>台達</w:t>
      </w:r>
      <w:r w:rsidRPr="00D15001">
        <w:rPr>
          <w:rFonts w:eastAsia="標楷體" w:hint="eastAsia"/>
          <w:sz w:val="26"/>
        </w:rPr>
        <w:t>電在工業自動化部分，目前涵蓋伺服馬達在內的自有品牌已占企業營收總額</w:t>
      </w:r>
      <w:r w:rsidRPr="00D15001">
        <w:rPr>
          <w:rFonts w:eastAsia="標楷體"/>
          <w:sz w:val="26"/>
        </w:rPr>
        <w:t>15%</w:t>
      </w:r>
      <w:r w:rsidRPr="00D15001">
        <w:rPr>
          <w:rFonts w:eastAsia="標楷體" w:hint="eastAsia"/>
          <w:sz w:val="26"/>
        </w:rPr>
        <w:t>，</w:t>
      </w:r>
      <w:r w:rsidRPr="00D15001">
        <w:rPr>
          <w:rFonts w:eastAsia="標楷體"/>
          <w:sz w:val="26"/>
        </w:rPr>
        <w:t>2013</w:t>
      </w:r>
      <w:r w:rsidRPr="00D15001">
        <w:rPr>
          <w:rFonts w:eastAsia="標楷體" w:hint="eastAsia"/>
          <w:sz w:val="26"/>
        </w:rPr>
        <w:t>年營收</w:t>
      </w:r>
      <w:r w:rsidRPr="00D15001">
        <w:rPr>
          <w:rFonts w:eastAsia="標楷體"/>
          <w:sz w:val="26"/>
        </w:rPr>
        <w:t>1,750</w:t>
      </w:r>
      <w:r w:rsidRPr="00D15001">
        <w:rPr>
          <w:rFonts w:eastAsia="標楷體" w:hint="eastAsia"/>
          <w:sz w:val="26"/>
        </w:rPr>
        <w:t>億元，預估</w:t>
      </w:r>
      <w:r w:rsidRPr="00D15001">
        <w:rPr>
          <w:rFonts w:eastAsia="標楷體"/>
          <w:sz w:val="26"/>
        </w:rPr>
        <w:t>2014</w:t>
      </w:r>
      <w:r w:rsidRPr="00D15001">
        <w:rPr>
          <w:rFonts w:eastAsia="標楷體" w:hint="eastAsia"/>
          <w:sz w:val="26"/>
        </w:rPr>
        <w:t>年可達</w:t>
      </w:r>
      <w:r w:rsidRPr="00D15001">
        <w:rPr>
          <w:rFonts w:eastAsia="標楷體"/>
          <w:sz w:val="26"/>
        </w:rPr>
        <w:t>1,950</w:t>
      </w:r>
      <w:r w:rsidRPr="00D15001">
        <w:rPr>
          <w:rFonts w:eastAsia="標楷體" w:hint="eastAsia"/>
          <w:sz w:val="26"/>
        </w:rPr>
        <w:t>億元。該公司宣</w:t>
      </w:r>
      <w:r>
        <w:rPr>
          <w:rFonts w:eastAsia="標楷體" w:hint="eastAsia"/>
          <w:sz w:val="26"/>
        </w:rPr>
        <w:t>布</w:t>
      </w:r>
      <w:r w:rsidRPr="00D15001">
        <w:rPr>
          <w:rFonts w:eastAsia="標楷體" w:hint="eastAsia"/>
          <w:sz w:val="26"/>
        </w:rPr>
        <w:t>將在今（</w:t>
      </w:r>
      <w:r w:rsidRPr="00D15001">
        <w:rPr>
          <w:rFonts w:eastAsia="標楷體"/>
          <w:sz w:val="26"/>
        </w:rPr>
        <w:t>2014</w:t>
      </w:r>
      <w:r w:rsidRPr="00D15001">
        <w:rPr>
          <w:rFonts w:eastAsia="標楷體" w:hint="eastAsia"/>
          <w:sz w:val="26"/>
        </w:rPr>
        <w:t>）年</w:t>
      </w:r>
      <w:r w:rsidRPr="00D15001">
        <w:rPr>
          <w:rFonts w:eastAsia="標楷體"/>
          <w:sz w:val="26"/>
        </w:rPr>
        <w:t>11</w:t>
      </w:r>
      <w:r w:rsidRPr="00D15001">
        <w:rPr>
          <w:rFonts w:eastAsia="標楷體" w:hint="eastAsia"/>
          <w:sz w:val="26"/>
        </w:rPr>
        <w:t>月於德國「</w:t>
      </w:r>
      <w:r w:rsidRPr="00D15001">
        <w:rPr>
          <w:rFonts w:eastAsia="標楷體"/>
          <w:sz w:val="26"/>
        </w:rPr>
        <w:t>2014</w:t>
      </w:r>
      <w:r w:rsidRPr="00D15001">
        <w:rPr>
          <w:rFonts w:eastAsia="標楷體" w:hint="eastAsia"/>
          <w:sz w:val="26"/>
        </w:rPr>
        <w:t>紐倫堡國際電氣自動化系統及零組件展」首次展出四軸</w:t>
      </w:r>
      <w:r w:rsidRPr="00D15001">
        <w:rPr>
          <w:rFonts w:eastAsia="標楷體"/>
          <w:sz w:val="26"/>
        </w:rPr>
        <w:t>SCARA</w:t>
      </w:r>
      <w:r w:rsidRPr="00D15001">
        <w:rPr>
          <w:rFonts w:eastAsia="標楷體" w:hint="eastAsia"/>
          <w:sz w:val="26"/>
        </w:rPr>
        <w:t>機器人，其零組件國產化比例已達九成以上，包含自主研發的控制器和視覺系統。還有預計展出十大自動化解決方案，包含高端工業設備控制、樓宇節能自動化、程序自動化和電源治理等。此外，該公司也宣</w:t>
      </w:r>
      <w:r>
        <w:rPr>
          <w:rFonts w:eastAsia="標楷體" w:hint="eastAsia"/>
          <w:sz w:val="26"/>
        </w:rPr>
        <w:t>布</w:t>
      </w:r>
      <w:r w:rsidRPr="00D15001">
        <w:rPr>
          <w:rFonts w:eastAsia="標楷體" w:hint="eastAsia"/>
          <w:sz w:val="26"/>
        </w:rPr>
        <w:t>會在今年推出</w:t>
      </w:r>
      <w:r w:rsidRPr="00D15001">
        <w:rPr>
          <w:rFonts w:eastAsia="標楷體"/>
          <w:sz w:val="26"/>
        </w:rPr>
        <w:t>Delta</w:t>
      </w:r>
      <w:r w:rsidRPr="00D15001">
        <w:rPr>
          <w:rFonts w:eastAsia="標楷體" w:hint="eastAsia"/>
          <w:sz w:val="26"/>
        </w:rPr>
        <w:t>機器人，零組件國產化比例達九成。</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w:t>
      </w:r>
      <w:r w:rsidRPr="00D15001">
        <w:rPr>
          <w:rFonts w:eastAsia="標楷體" w:hint="eastAsia"/>
          <w:color w:val="000000"/>
          <w:sz w:val="26"/>
          <w:lang w:val="x-none"/>
        </w:rPr>
        <w:t>電子業者跨足自動化產業方面，如鴻海和正崴等。</w:t>
      </w:r>
      <w:r w:rsidRPr="00D15001">
        <w:rPr>
          <w:rFonts w:eastAsia="標楷體" w:hint="eastAsia"/>
          <w:sz w:val="26"/>
        </w:rPr>
        <w:t>鴻海在自動化和機器人產業的</w:t>
      </w:r>
      <w:r>
        <w:rPr>
          <w:rFonts w:eastAsia="標楷體" w:hint="eastAsia"/>
          <w:sz w:val="26"/>
        </w:rPr>
        <w:t>布</w:t>
      </w:r>
      <w:r w:rsidRPr="00D15001">
        <w:rPr>
          <w:rFonts w:eastAsia="標楷體" w:hint="eastAsia"/>
          <w:sz w:val="26"/>
        </w:rPr>
        <w:t>局受到各界高度的關注，從</w:t>
      </w:r>
      <w:r w:rsidRPr="00D15001">
        <w:rPr>
          <w:rFonts w:eastAsia="標楷體"/>
          <w:sz w:val="26"/>
        </w:rPr>
        <w:t>2012</w:t>
      </w:r>
      <w:r w:rsidRPr="00D15001">
        <w:rPr>
          <w:rFonts w:eastAsia="標楷體" w:hint="eastAsia"/>
          <w:sz w:val="26"/>
        </w:rPr>
        <w:t>年宣誓百萬機器人大軍計畫，預計在</w:t>
      </w:r>
      <w:r w:rsidRPr="00D15001">
        <w:rPr>
          <w:rFonts w:eastAsia="標楷體"/>
          <w:sz w:val="26"/>
        </w:rPr>
        <w:t>5~10</w:t>
      </w:r>
      <w:r w:rsidRPr="00D15001">
        <w:rPr>
          <w:rFonts w:eastAsia="標楷體" w:hint="eastAsia"/>
          <w:sz w:val="26"/>
        </w:rPr>
        <w:t>年內建立首座全自動化工廠。</w:t>
      </w:r>
      <w:r w:rsidRPr="00D15001">
        <w:rPr>
          <w:rFonts w:eastAsia="標楷體"/>
          <w:sz w:val="26"/>
        </w:rPr>
        <w:t>2013</w:t>
      </w:r>
      <w:r w:rsidRPr="00D15001">
        <w:rPr>
          <w:rFonts w:eastAsia="標楷體" w:hint="eastAsia"/>
          <w:sz w:val="26"/>
        </w:rPr>
        <w:t>年</w:t>
      </w:r>
      <w:r w:rsidRPr="00D15001">
        <w:rPr>
          <w:rFonts w:eastAsia="標楷體"/>
          <w:sz w:val="26"/>
        </w:rPr>
        <w:t>11</w:t>
      </w:r>
      <w:r w:rsidRPr="00D15001">
        <w:rPr>
          <w:rFonts w:eastAsia="標楷體" w:hint="eastAsia"/>
          <w:sz w:val="26"/>
        </w:rPr>
        <w:t>月宣</w:t>
      </w:r>
      <w:r>
        <w:rPr>
          <w:rFonts w:eastAsia="標楷體" w:hint="eastAsia"/>
          <w:sz w:val="26"/>
        </w:rPr>
        <w:t>布</w:t>
      </w:r>
      <w:r w:rsidRPr="00D15001">
        <w:rPr>
          <w:rFonts w:eastAsia="標楷體" w:hint="eastAsia"/>
          <w:sz w:val="26"/>
        </w:rPr>
        <w:t>赴美國</w:t>
      </w:r>
      <w:r w:rsidRPr="00C74F59">
        <w:rPr>
          <w:rFonts w:eastAsia="標楷體" w:hint="eastAsia"/>
          <w:sz w:val="26"/>
        </w:rPr>
        <w:t>賓州投資機器人技術，預計在</w:t>
      </w:r>
      <w:r w:rsidRPr="00C74F59">
        <w:rPr>
          <w:rFonts w:eastAsia="標楷體"/>
          <w:sz w:val="26"/>
        </w:rPr>
        <w:t>2</w:t>
      </w:r>
      <w:r w:rsidRPr="00C74F59">
        <w:rPr>
          <w:rFonts w:eastAsia="標楷體" w:hint="eastAsia"/>
          <w:sz w:val="26"/>
        </w:rPr>
        <w:t>年內投入</w:t>
      </w:r>
      <w:r w:rsidRPr="00C74F59">
        <w:rPr>
          <w:rFonts w:eastAsia="標楷體"/>
          <w:sz w:val="26"/>
        </w:rPr>
        <w:t>1</w:t>
      </w:r>
      <w:r w:rsidR="006D551C" w:rsidRPr="00C74F59">
        <w:rPr>
          <w:rFonts w:eastAsia="標楷體" w:hint="eastAsia"/>
          <w:sz w:val="26"/>
        </w:rPr>
        <w:t>千</w:t>
      </w:r>
      <w:r w:rsidRPr="00C74F59">
        <w:rPr>
          <w:rFonts w:eastAsia="標楷體" w:hint="eastAsia"/>
          <w:sz w:val="26"/>
        </w:rPr>
        <w:t>萬美元，與相關大學進行機</w:t>
      </w:r>
      <w:r w:rsidRPr="00D15001">
        <w:rPr>
          <w:rFonts w:eastAsia="標楷體" w:hint="eastAsia"/>
          <w:sz w:val="26"/>
        </w:rPr>
        <w:t>器人自動化技術研發，未來更將投資工具機自動化生產設備，擴展高階精</w:t>
      </w:r>
      <w:r w:rsidRPr="00D15001">
        <w:rPr>
          <w:rFonts w:eastAsia="標楷體" w:hint="eastAsia"/>
          <w:sz w:val="26"/>
        </w:rPr>
        <w:lastRenderedPageBreak/>
        <w:t>密製造版圖。</w:t>
      </w:r>
      <w:r w:rsidRPr="00D15001">
        <w:rPr>
          <w:rFonts w:eastAsia="標楷體"/>
          <w:sz w:val="26"/>
        </w:rPr>
        <w:t>2014</w:t>
      </w:r>
      <w:r w:rsidRPr="00D15001">
        <w:rPr>
          <w:rFonts w:eastAsia="標楷體" w:hint="eastAsia"/>
          <w:sz w:val="26"/>
        </w:rPr>
        <w:t>年</w:t>
      </w:r>
      <w:r w:rsidRPr="00D15001">
        <w:rPr>
          <w:rFonts w:eastAsia="標楷體"/>
          <w:sz w:val="26"/>
        </w:rPr>
        <w:t>2</w:t>
      </w:r>
      <w:r w:rsidRPr="00D15001">
        <w:rPr>
          <w:rFonts w:eastAsia="標楷體" w:hint="eastAsia"/>
          <w:sz w:val="26"/>
        </w:rPr>
        <w:t>月發布與</w:t>
      </w:r>
      <w:r w:rsidRPr="00D15001">
        <w:rPr>
          <w:rFonts w:eastAsia="標楷體"/>
          <w:sz w:val="26"/>
        </w:rPr>
        <w:t>Google</w:t>
      </w:r>
      <w:r w:rsidRPr="00D15001">
        <w:rPr>
          <w:rFonts w:eastAsia="標楷體" w:hint="eastAsia"/>
          <w:sz w:val="26"/>
        </w:rPr>
        <w:t>結盟消息，共同開發機器人技術。</w:t>
      </w:r>
      <w:r w:rsidRPr="00D15001">
        <w:rPr>
          <w:rFonts w:eastAsia="標楷體"/>
          <w:sz w:val="26"/>
        </w:rPr>
        <w:t>2014</w:t>
      </w:r>
      <w:r w:rsidRPr="00D15001">
        <w:rPr>
          <w:rFonts w:eastAsia="標楷體" w:hint="eastAsia"/>
          <w:sz w:val="26"/>
        </w:rPr>
        <w:t>年</w:t>
      </w:r>
      <w:r w:rsidRPr="00D15001">
        <w:rPr>
          <w:rFonts w:eastAsia="標楷體"/>
          <w:sz w:val="26"/>
        </w:rPr>
        <w:t>7</w:t>
      </w:r>
      <w:r w:rsidRPr="00D15001">
        <w:rPr>
          <w:rFonts w:eastAsia="標楷體" w:hint="eastAsia"/>
          <w:sz w:val="26"/>
        </w:rPr>
        <w:t>月傳出自有品牌機器人</w:t>
      </w:r>
      <w:r w:rsidRPr="00D15001">
        <w:rPr>
          <w:rFonts w:eastAsia="標楷體"/>
          <w:sz w:val="26"/>
        </w:rPr>
        <w:t>Foxbots</w:t>
      </w:r>
      <w:r w:rsidRPr="00D15001">
        <w:rPr>
          <w:rFonts w:eastAsia="標楷體" w:hint="eastAsia"/>
          <w:sz w:val="26"/>
        </w:rPr>
        <w:t>已進入最後測試階段，將首先應用在蘋果生產線上。據瞭解，鴻海內部對於自動化產線規畫相當積極，在應用領域方面大都集中在磨光、拋光、毛邊等標準化加工程序，以及像觸控螢幕檢測等重複性作業。</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正崴成立於</w:t>
      </w:r>
      <w:r w:rsidRPr="00D15001">
        <w:rPr>
          <w:rFonts w:eastAsia="標楷體"/>
          <w:sz w:val="26"/>
        </w:rPr>
        <w:t>1986</w:t>
      </w:r>
      <w:r w:rsidRPr="00D15001">
        <w:rPr>
          <w:rFonts w:eastAsia="標楷體" w:hint="eastAsia"/>
          <w:sz w:val="26"/>
        </w:rPr>
        <w:t>年，專門生產連接器、電源管理和能源模組、無線通訊和光學產品等。近年來積極</w:t>
      </w:r>
      <w:r>
        <w:rPr>
          <w:rFonts w:eastAsia="標楷體" w:hint="eastAsia"/>
          <w:sz w:val="26"/>
        </w:rPr>
        <w:t>布</w:t>
      </w:r>
      <w:r w:rsidRPr="00D15001">
        <w:rPr>
          <w:rFonts w:eastAsia="標楷體" w:hint="eastAsia"/>
          <w:sz w:val="26"/>
        </w:rPr>
        <w:t>局自動化和機器人產業，</w:t>
      </w:r>
      <w:r w:rsidRPr="00D15001">
        <w:rPr>
          <w:rFonts w:eastAsia="標楷體"/>
          <w:sz w:val="26"/>
        </w:rPr>
        <w:t>2014</w:t>
      </w:r>
      <w:r w:rsidRPr="00D15001">
        <w:rPr>
          <w:rFonts w:eastAsia="標楷體" w:hint="eastAsia"/>
          <w:sz w:val="26"/>
        </w:rPr>
        <w:t>年</w:t>
      </w:r>
      <w:r w:rsidRPr="00D15001">
        <w:rPr>
          <w:rFonts w:eastAsia="標楷體"/>
          <w:sz w:val="26"/>
        </w:rPr>
        <w:t>8</w:t>
      </w:r>
      <w:r w:rsidRPr="00D15001">
        <w:rPr>
          <w:rFonts w:eastAsia="標楷體" w:hint="eastAsia"/>
          <w:sz w:val="26"/>
        </w:rPr>
        <w:t>月東莞東興廠正式導入</w:t>
      </w:r>
      <w:r w:rsidRPr="00D15001">
        <w:rPr>
          <w:rFonts w:eastAsia="標楷體"/>
          <w:sz w:val="26"/>
        </w:rPr>
        <w:t>35</w:t>
      </w:r>
      <w:r w:rsidRPr="00D15001">
        <w:rPr>
          <w:rFonts w:eastAsia="標楷體" w:hint="eastAsia"/>
          <w:sz w:val="26"/>
        </w:rPr>
        <w:t>臺</w:t>
      </w:r>
      <w:r w:rsidRPr="00D15001">
        <w:rPr>
          <w:rFonts w:eastAsia="標楷體"/>
          <w:sz w:val="26"/>
        </w:rPr>
        <w:t>6</w:t>
      </w:r>
      <w:r w:rsidRPr="00D15001">
        <w:rPr>
          <w:rFonts w:eastAsia="標楷體" w:hint="eastAsia"/>
          <w:sz w:val="26"/>
        </w:rPr>
        <w:t>軸機器人手臂，開始自動化發展，目標是集團全面自動化，朝「機器人做機器人」方向發展。該公司於</w:t>
      </w:r>
      <w:r w:rsidRPr="00D15001">
        <w:rPr>
          <w:rFonts w:eastAsia="標楷體"/>
          <w:sz w:val="26"/>
        </w:rPr>
        <w:t>2013</w:t>
      </w:r>
      <w:r w:rsidRPr="00D15001">
        <w:rPr>
          <w:rFonts w:eastAsia="標楷體" w:hint="eastAsia"/>
          <w:sz w:val="26"/>
        </w:rPr>
        <w:t>年向工研院技轉機器人自動化技術，在臺灣試做且技術成熟後即應用到東莞廠房，目標</w:t>
      </w:r>
      <w:r w:rsidRPr="00D15001">
        <w:rPr>
          <w:rFonts w:eastAsia="標楷體"/>
          <w:sz w:val="26"/>
        </w:rPr>
        <w:t>2015</w:t>
      </w:r>
      <w:r w:rsidRPr="00D15001">
        <w:rPr>
          <w:rFonts w:eastAsia="標楷體" w:hint="eastAsia"/>
          <w:sz w:val="26"/>
        </w:rPr>
        <w:t>年裝置</w:t>
      </w:r>
      <w:r w:rsidRPr="00D15001">
        <w:rPr>
          <w:rFonts w:eastAsia="標楷體"/>
          <w:sz w:val="26"/>
        </w:rPr>
        <w:t>100</w:t>
      </w:r>
      <w:r>
        <w:rPr>
          <w:rFonts w:eastAsia="標楷體" w:hint="eastAsia"/>
          <w:sz w:val="26"/>
        </w:rPr>
        <w:t>臺機器人，負責連接器取放、鎖螺絲和點膠</w:t>
      </w:r>
      <w:r w:rsidRPr="00D15001">
        <w:rPr>
          <w:rFonts w:eastAsia="標楷體" w:hint="eastAsia"/>
          <w:sz w:val="26"/>
        </w:rPr>
        <w:t>工作。未來將朝掌握電控箱、馬達、減速器等核心關鍵零件發展，並計劃將高階產品拉回臺灣生產，以方便讓臺灣研發與生產整合。</w:t>
      </w:r>
    </w:p>
    <w:p w:rsidR="004163FA" w:rsidRDefault="004163FA" w:rsidP="004163FA">
      <w:pPr>
        <w:spacing w:beforeLines="30" w:before="108" w:afterLines="30" w:after="108" w:line="520" w:lineRule="exact"/>
        <w:ind w:firstLineChars="200" w:firstLine="520"/>
        <w:jc w:val="both"/>
        <w:rPr>
          <w:rFonts w:eastAsia="標楷體"/>
          <w:color w:val="000000"/>
          <w:sz w:val="26"/>
          <w:lang w:val="x-none"/>
        </w:rPr>
      </w:pPr>
      <w:r w:rsidRPr="00D15001">
        <w:rPr>
          <w:rFonts w:eastAsia="標楷體" w:hint="eastAsia"/>
          <w:color w:val="000000"/>
          <w:sz w:val="26"/>
          <w:lang w:val="x-none"/>
        </w:rPr>
        <w:t>臺灣自動化產業最積極投入在中游設備製造產業，但受限於未能掌握關鍵零組件，產品相對較不具價格競爭力，因此關鍵零組件國產化是目前努力目標。下游應用方面，設備廠希望培育採用自家產品的系統整合業者，或者自行提供自動化解決方案，朝向製造服務化發展。而本身為設備需求者則藉由具自行應用場域的優勢，發展出較純熟的技術，再進一步進軍機器人市場。</w:t>
      </w:r>
    </w:p>
    <w:p w:rsidR="004163FA" w:rsidRPr="00D15001" w:rsidRDefault="004163FA" w:rsidP="004163FA">
      <w:pPr>
        <w:spacing w:beforeLines="30" w:before="108" w:afterLines="30" w:after="108" w:line="520" w:lineRule="exact"/>
        <w:ind w:firstLineChars="200" w:firstLine="520"/>
        <w:jc w:val="both"/>
        <w:rPr>
          <w:rFonts w:eastAsia="標楷體"/>
          <w:color w:val="000000"/>
          <w:sz w:val="26"/>
          <w:lang w:val="x-none"/>
        </w:rPr>
      </w:pPr>
      <w:r>
        <w:rPr>
          <w:rFonts w:eastAsia="標楷體" w:hint="eastAsia"/>
          <w:color w:val="000000"/>
          <w:sz w:val="26"/>
          <w:lang w:val="x-none"/>
        </w:rPr>
        <w:t>此外，可善加利用</w:t>
      </w:r>
      <w:r w:rsidR="005F5D55">
        <w:rPr>
          <w:rFonts w:eastAsia="標楷體" w:hint="eastAsia"/>
          <w:color w:val="000000"/>
          <w:sz w:val="26"/>
          <w:lang w:val="x-none"/>
        </w:rPr>
        <w:t>「</w:t>
      </w:r>
      <w:r w:rsidRPr="005F5D55">
        <w:rPr>
          <w:rFonts w:eastAsia="標楷體" w:hint="eastAsia"/>
          <w:color w:val="000000"/>
          <w:sz w:val="26"/>
          <w:lang w:val="x-none"/>
        </w:rPr>
        <w:t>中</w:t>
      </w:r>
      <w:r w:rsidR="005F5D55" w:rsidRPr="005F5D55">
        <w:rPr>
          <w:rFonts w:eastAsia="標楷體" w:hint="eastAsia"/>
          <w:color w:val="000000"/>
          <w:sz w:val="26"/>
          <w:lang w:val="x-none"/>
        </w:rPr>
        <w:t>」</w:t>
      </w:r>
      <w:r>
        <w:rPr>
          <w:rFonts w:eastAsia="標楷體" w:hint="eastAsia"/>
          <w:color w:val="000000"/>
          <w:sz w:val="26"/>
          <w:lang w:val="x-none"/>
        </w:rPr>
        <w:t>、日、韓間的國際政經情勢變化帶給臺灣的利基，在中國大陸透過陸韓</w:t>
      </w:r>
      <w:r>
        <w:rPr>
          <w:rFonts w:eastAsia="標楷體" w:hint="eastAsia"/>
          <w:color w:val="000000"/>
          <w:sz w:val="26"/>
          <w:lang w:val="x-none"/>
        </w:rPr>
        <w:t>FTA</w:t>
      </w:r>
      <w:r>
        <w:rPr>
          <w:rFonts w:eastAsia="標楷體" w:hint="eastAsia"/>
          <w:color w:val="000000"/>
          <w:sz w:val="26"/>
          <w:lang w:val="x-none"/>
        </w:rPr>
        <w:t>攏絡韓國，對日本形成嚴重威脅之際，臺灣可向日本釋出善意，在日本需要亞洲盟友的態勢下，藉此與其洽談關鍵零組件的技術合作，像是臺灣相對較弱的控制器和減速機。若能夠因此在自動化零組件領域促成臺日合作，對於臺灣自動化產業是重要的突破性發展，對未來整體產業發展有相當大的助益。</w:t>
      </w:r>
    </w:p>
    <w:p w:rsidR="004163FA" w:rsidRPr="00D15001" w:rsidRDefault="004163FA" w:rsidP="004163FA">
      <w:pPr>
        <w:keepNext/>
        <w:spacing w:beforeLines="20" w:before="72" w:afterLines="20" w:after="72"/>
        <w:jc w:val="both"/>
        <w:outlineLvl w:val="2"/>
        <w:rPr>
          <w:rFonts w:eastAsia="標楷體"/>
          <w:b/>
          <w:bCs/>
          <w:sz w:val="36"/>
          <w:szCs w:val="36"/>
          <w:lang w:val="x-none"/>
        </w:rPr>
      </w:pPr>
      <w:r w:rsidRPr="00D15001">
        <w:rPr>
          <w:rFonts w:eastAsia="標楷體" w:hint="eastAsia"/>
          <w:b/>
          <w:bCs/>
          <w:sz w:val="36"/>
          <w:szCs w:val="36"/>
          <w:lang w:val="x-none"/>
        </w:rPr>
        <w:lastRenderedPageBreak/>
        <w:t>三</w:t>
      </w:r>
      <w:r w:rsidRPr="00D15001">
        <w:rPr>
          <w:rFonts w:eastAsia="標楷體"/>
          <w:b/>
          <w:bCs/>
          <w:sz w:val="36"/>
          <w:szCs w:val="36"/>
          <w:lang w:val="x-none" w:eastAsia="x-none"/>
        </w:rPr>
        <w:t>、</w:t>
      </w:r>
      <w:r w:rsidRPr="00D15001">
        <w:rPr>
          <w:rFonts w:eastAsia="標楷體" w:hint="eastAsia"/>
          <w:b/>
          <w:bCs/>
          <w:sz w:val="36"/>
          <w:szCs w:val="36"/>
          <w:lang w:val="x-none"/>
        </w:rPr>
        <w:t>兩岸電子業自動化競爭趨勢</w:t>
      </w:r>
    </w:p>
    <w:p w:rsidR="004163FA" w:rsidRPr="004373BA"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目前電子業自動化困難點在於後段組裝，過去中國大陸藉由大量廉價勞動力在該領域具有成本競爭優勢，如今社會和經濟情勢改變，後段組裝遂成為自動化的重點項目。</w:t>
      </w:r>
      <w:r w:rsidRPr="00D15001">
        <w:rPr>
          <w:rFonts w:eastAsia="標楷體"/>
          <w:sz w:val="26"/>
        </w:rPr>
        <w:t>2014</w:t>
      </w:r>
      <w:r w:rsidRPr="00D15001">
        <w:rPr>
          <w:rFonts w:eastAsia="標楷體" w:hint="eastAsia"/>
          <w:sz w:val="26"/>
        </w:rPr>
        <w:t>年</w:t>
      </w:r>
      <w:r w:rsidRPr="00D15001">
        <w:rPr>
          <w:rFonts w:eastAsia="標楷體"/>
          <w:sz w:val="26"/>
        </w:rPr>
        <w:t>6</w:t>
      </w:r>
      <w:r w:rsidRPr="00D15001">
        <w:rPr>
          <w:rFonts w:eastAsia="標楷體" w:hint="eastAsia"/>
          <w:sz w:val="26"/>
        </w:rPr>
        <w:t>月德國</w:t>
      </w:r>
      <w:r w:rsidRPr="00D15001">
        <w:rPr>
          <w:rFonts w:eastAsia="標楷體"/>
          <w:sz w:val="26"/>
        </w:rPr>
        <w:t>KUKA</w:t>
      </w:r>
      <w:r w:rsidRPr="00D15001">
        <w:rPr>
          <w:rFonts w:eastAsia="標楷體" w:hint="eastAsia"/>
          <w:sz w:val="26"/>
        </w:rPr>
        <w:t>執行長</w:t>
      </w:r>
      <w:r w:rsidRPr="00D15001">
        <w:rPr>
          <w:rFonts w:eastAsia="標楷體"/>
          <w:sz w:val="26"/>
        </w:rPr>
        <w:t xml:space="preserve"> Till Reuter </w:t>
      </w:r>
      <w:r w:rsidRPr="00D15001">
        <w:rPr>
          <w:rFonts w:eastAsia="標楷體" w:hint="eastAsia"/>
          <w:sz w:val="26"/>
        </w:rPr>
        <w:t>曾表示，目前</w:t>
      </w:r>
      <w:r w:rsidRPr="00D15001">
        <w:rPr>
          <w:rFonts w:eastAsia="標楷體"/>
          <w:sz w:val="26"/>
        </w:rPr>
        <w:t xml:space="preserve"> 3C</w:t>
      </w:r>
      <w:r w:rsidRPr="00D15001">
        <w:rPr>
          <w:rFonts w:eastAsia="標楷體" w:hint="eastAsia"/>
          <w:sz w:val="26"/>
        </w:rPr>
        <w:t>產業（電腦、通訊、消費性電子）從業人數約達</w:t>
      </w:r>
      <w:r w:rsidRPr="00D15001">
        <w:rPr>
          <w:rFonts w:eastAsia="標楷體"/>
          <w:sz w:val="26"/>
        </w:rPr>
        <w:t xml:space="preserve"> 600 </w:t>
      </w:r>
      <w:r w:rsidRPr="00D15001">
        <w:rPr>
          <w:rFonts w:eastAsia="標楷體" w:hint="eastAsia"/>
          <w:sz w:val="26"/>
        </w:rPr>
        <w:t>萬，自動化程度仍偏低，認為未來電子業的成長潛力會像</w:t>
      </w:r>
      <w:r w:rsidRPr="00D15001">
        <w:rPr>
          <w:rFonts w:eastAsia="標楷體"/>
          <w:sz w:val="26"/>
        </w:rPr>
        <w:t>40</w:t>
      </w:r>
      <w:r w:rsidRPr="00D15001">
        <w:rPr>
          <w:rFonts w:eastAsia="標楷體" w:hint="eastAsia"/>
          <w:sz w:val="26"/>
        </w:rPr>
        <w:t>年前的汽車產業一樣急遽攀升。由於電子組裝業屬於勞力密集產業，自動化程度低，所以目前重點在於第一階段的製造自動化，資訊自動化也有需求，但高難度挑戰在於將人力操作製程改為機械操作製程，中間有很大的落差和調整適應。由於後段組裝受限於產品生命週期短、經濟規模不足，製造流程時常需要換線，造成在導入全部製造自動化有一定的難度，因此新型的人機協同概念也成為兩岸電子業的競爭重點（見圖</w:t>
      </w:r>
      <w:r w:rsidRPr="00D10E1E">
        <w:rPr>
          <w:rFonts w:eastAsia="標楷體"/>
          <w:sz w:val="26"/>
        </w:rPr>
        <w:t>5-</w:t>
      </w:r>
      <w:r w:rsidR="00D10E1E" w:rsidRPr="00D10E1E">
        <w:rPr>
          <w:rFonts w:eastAsia="標楷體" w:hint="eastAsia"/>
          <w:sz w:val="26"/>
        </w:rPr>
        <w:t>4</w:t>
      </w:r>
      <w:r w:rsidRPr="00D15001">
        <w:rPr>
          <w:rFonts w:eastAsia="標楷體" w:hint="eastAsia"/>
          <w:sz w:val="26"/>
        </w:rPr>
        <w:t>）。</w:t>
      </w:r>
    </w:p>
    <w:p w:rsidR="004163FA" w:rsidRPr="00D15001" w:rsidRDefault="00796180" w:rsidP="004163FA">
      <w:pPr>
        <w:spacing w:beforeLines="30" w:before="108" w:afterLines="30" w:after="108"/>
        <w:jc w:val="center"/>
        <w:rPr>
          <w:rFonts w:eastAsia="標楷體"/>
          <w:sz w:val="26"/>
          <w:shd w:val="pct15" w:color="auto" w:fill="FFFFFF"/>
        </w:rPr>
      </w:pPr>
      <w:r>
        <w:rPr>
          <w:rFonts w:eastAsia="標楷體"/>
          <w:noProof/>
          <w:sz w:val="26"/>
        </w:rPr>
        <w:drawing>
          <wp:inline distT="0" distB="0" distL="0" distR="0">
            <wp:extent cx="5404485" cy="1719580"/>
            <wp:effectExtent l="0" t="0" r="571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4485" cy="1719580"/>
                    </a:xfrm>
                    <a:prstGeom prst="rect">
                      <a:avLst/>
                    </a:prstGeom>
                    <a:noFill/>
                    <a:ln>
                      <a:noFill/>
                    </a:ln>
                  </pic:spPr>
                </pic:pic>
              </a:graphicData>
            </a:graphic>
          </wp:inline>
        </w:drawing>
      </w:r>
    </w:p>
    <w:p w:rsidR="004163FA" w:rsidRPr="00D15001" w:rsidRDefault="004163FA" w:rsidP="004163FA">
      <w:pPr>
        <w:rPr>
          <w:rFonts w:eastAsia="標楷體"/>
          <w:sz w:val="20"/>
        </w:rPr>
      </w:pPr>
      <w:r w:rsidRPr="00D15001">
        <w:rPr>
          <w:rFonts w:eastAsia="標楷體" w:hint="eastAsia"/>
          <w:sz w:val="20"/>
        </w:rPr>
        <w:t>資料來源：本研究繪製。</w:t>
      </w:r>
    </w:p>
    <w:p w:rsidR="004163FA" w:rsidRPr="00B014B3" w:rsidRDefault="004163FA" w:rsidP="00B014B3">
      <w:pPr>
        <w:pStyle w:val="af0"/>
      </w:pPr>
      <w:bookmarkStart w:id="70" w:name="_Toc405462641"/>
      <w:r w:rsidRPr="00D15001">
        <w:rPr>
          <w:rFonts w:hint="eastAsia"/>
        </w:rPr>
        <w:t>圖</w:t>
      </w:r>
      <w:r w:rsidRPr="00D15001">
        <w:t>5-4</w:t>
      </w:r>
      <w:r w:rsidRPr="00D15001">
        <w:rPr>
          <w:rFonts w:hint="eastAsia"/>
        </w:rPr>
        <w:t xml:space="preserve">　兩岸電子業自動化競爭示意圖</w:t>
      </w:r>
      <w:bookmarkEnd w:id="70"/>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若臺灣能夠在後段組裝達到高難度的製造自動化或者人機協同作業，並解決人機互動安全性等問題，可藉此</w:t>
      </w:r>
      <w:r>
        <w:rPr>
          <w:rFonts w:eastAsia="標楷體" w:hint="eastAsia"/>
          <w:sz w:val="26"/>
        </w:rPr>
        <w:t>提升</w:t>
      </w:r>
      <w:r w:rsidRPr="00D15001">
        <w:rPr>
          <w:rFonts w:eastAsia="標楷體" w:hint="eastAsia"/>
          <w:sz w:val="26"/>
        </w:rPr>
        <w:t>生產線換線速率，將大幅</w:t>
      </w:r>
      <w:r>
        <w:rPr>
          <w:rFonts w:eastAsia="標楷體" w:hint="eastAsia"/>
          <w:sz w:val="26"/>
        </w:rPr>
        <w:t>提升</w:t>
      </w:r>
      <w:r w:rsidRPr="00D15001">
        <w:rPr>
          <w:rFonts w:eastAsia="標楷體" w:hint="eastAsia"/>
          <w:sz w:val="26"/>
        </w:rPr>
        <w:t>產業競爭力。此外，也能夠讓臺商將目前在大陸的組裝產線部分移回臺灣，形成電子產業鏈一條龍生產，有助於臺灣產業鏈的完整。更有重要的是，這能有助於朝德國</w:t>
      </w:r>
      <w:r w:rsidRPr="00D15001">
        <w:rPr>
          <w:rFonts w:eastAsia="標楷體"/>
          <w:sz w:val="26"/>
        </w:rPr>
        <w:t>4.0</w:t>
      </w:r>
      <w:r w:rsidRPr="00D15001">
        <w:rPr>
          <w:rFonts w:eastAsia="標楷體" w:hint="eastAsia"/>
          <w:sz w:val="26"/>
        </w:rPr>
        <w:t>的虛實合一製造系統和美國的智慧工廠邁進。</w:t>
      </w:r>
    </w:p>
    <w:p w:rsidR="004163FA" w:rsidRPr="00EE20E4"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lastRenderedPageBreak/>
        <w:t>總而言之，中國大陸電子業多處於低端組裝，要實現自動化生產方式，</w:t>
      </w:r>
      <w:r>
        <w:rPr>
          <w:rFonts w:eastAsia="標楷體" w:hint="eastAsia"/>
          <w:sz w:val="26"/>
        </w:rPr>
        <w:t>除了</w:t>
      </w:r>
      <w:r w:rsidRPr="00D15001">
        <w:rPr>
          <w:rFonts w:eastAsia="標楷體" w:hint="eastAsia"/>
          <w:sz w:val="26"/>
        </w:rPr>
        <w:t>從製造自動化著手</w:t>
      </w:r>
      <w:r>
        <w:rPr>
          <w:rFonts w:eastAsia="標楷體" w:hint="eastAsia"/>
          <w:sz w:val="26"/>
        </w:rPr>
        <w:t>，在無法實現全自動化或是全自動化不符合經濟成本效益的部分，可</w:t>
      </w:r>
      <w:r w:rsidRPr="00D15001">
        <w:rPr>
          <w:rFonts w:eastAsia="標楷體" w:hint="eastAsia"/>
          <w:sz w:val="26"/>
        </w:rPr>
        <w:t>朝向到更具彈性的人機協同自動化發展；臺灣則以高端零組件為主，自動化程度已相當高，目前正朝資訊自動化精進。臺灣若能將在中國大陸的後段組裝產線實現</w:t>
      </w:r>
      <w:r>
        <w:rPr>
          <w:rFonts w:eastAsia="標楷體" w:hint="eastAsia"/>
          <w:sz w:val="26"/>
        </w:rPr>
        <w:t>合理的</w:t>
      </w:r>
      <w:r w:rsidRPr="00D15001">
        <w:rPr>
          <w:rFonts w:eastAsia="標楷體" w:hint="eastAsia"/>
          <w:sz w:val="26"/>
        </w:rPr>
        <w:t>自動化生產方式，將大幅</w:t>
      </w:r>
      <w:r>
        <w:rPr>
          <w:rFonts w:eastAsia="標楷體" w:hint="eastAsia"/>
          <w:sz w:val="26"/>
        </w:rPr>
        <w:t>提</w:t>
      </w:r>
      <w:r w:rsidRPr="00C74F59">
        <w:rPr>
          <w:rFonts w:eastAsia="標楷體" w:hint="eastAsia"/>
          <w:sz w:val="26"/>
        </w:rPr>
        <w:t>升我電子業整</w:t>
      </w:r>
      <w:r w:rsidR="00743C98" w:rsidRPr="00C74F59">
        <w:rPr>
          <w:rFonts w:eastAsia="標楷體" w:hint="eastAsia"/>
          <w:sz w:val="26"/>
        </w:rPr>
        <w:t>體</w:t>
      </w:r>
      <w:r w:rsidRPr="00C74F59">
        <w:rPr>
          <w:rFonts w:eastAsia="標楷體" w:hint="eastAsia"/>
          <w:sz w:val="26"/>
        </w:rPr>
        <w:t>產業鏈的製造能力，並具備條件往全球新型自動化趨勢邁</w:t>
      </w:r>
      <w:r w:rsidRPr="00D15001">
        <w:rPr>
          <w:rFonts w:eastAsia="標楷體" w:hint="eastAsia"/>
          <w:sz w:val="26"/>
        </w:rPr>
        <w:t>進。</w:t>
      </w:r>
    </w:p>
    <w:p w:rsidR="004163FA" w:rsidRPr="00DA5B83" w:rsidRDefault="004163FA" w:rsidP="00DA5B83">
      <w:pPr>
        <w:pStyle w:val="3"/>
        <w:spacing w:before="72" w:after="72"/>
        <w:rPr>
          <w:rFonts w:ascii="Times New Roman" w:hAnsi="Times New Roman"/>
        </w:rPr>
      </w:pPr>
      <w:r w:rsidRPr="00D15001">
        <w:rPr>
          <w:rFonts w:ascii="Times New Roman" w:hAnsi="Times New Roman" w:hint="eastAsia"/>
        </w:rPr>
        <w:t>貳、食品業自動化趨勢</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color w:val="000000"/>
          <w:sz w:val="26"/>
          <w:lang w:val="x-none"/>
        </w:rPr>
        <w:t>根據</w:t>
      </w:r>
      <w:r w:rsidRPr="00D15001">
        <w:rPr>
          <w:rFonts w:eastAsia="標楷體" w:hint="eastAsia"/>
          <w:color w:val="000000"/>
          <w:sz w:val="26"/>
          <w:lang w:val="x-none"/>
        </w:rPr>
        <w:t>IFR</w:t>
      </w:r>
      <w:r w:rsidRPr="00D15001">
        <w:rPr>
          <w:rFonts w:eastAsia="標楷體" w:hint="eastAsia"/>
          <w:color w:val="000000"/>
          <w:sz w:val="26"/>
          <w:lang w:val="x-none"/>
        </w:rPr>
        <w:t>統計，</w:t>
      </w:r>
      <w:r w:rsidRPr="00D15001">
        <w:rPr>
          <w:rFonts w:eastAsia="標楷體" w:hint="eastAsia"/>
          <w:sz w:val="26"/>
          <w:lang w:val="x-none"/>
        </w:rPr>
        <w:t>2010-2012</w:t>
      </w:r>
      <w:r w:rsidRPr="00D15001">
        <w:rPr>
          <w:rFonts w:eastAsia="標楷體" w:hint="eastAsia"/>
          <w:sz w:val="26"/>
          <w:lang w:val="x-none"/>
        </w:rPr>
        <w:t>年期間，除了汽車工業、電子業和汽車零組件業工業機器人三大需求行業外，其他如化學、橡塑膠製品業、金屬製品業、食品業每年都不斷增加機器人的裝置數量。其中食品業有別於電子組裝業以製造自動化為重點，由於行業特性需要潔淨的生產環境，在機械化發展進程相對比電子組裝業來的早，尤其是標準化產品已在高度製造自動化基礎上發展資訊自動化。</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近來兩岸食品安全議題受到熱烈討論，資訊自動化日益被重視。藉由資訊系統的應用，從農漁業到食品業整合供應鏈上、中、下游的履歷資料，能夠有效控管產品原材料來源及流向追溯或追蹤。也就是說資訊自動化對於食品業而言不僅是</w:t>
      </w:r>
      <w:r>
        <w:rPr>
          <w:rFonts w:eastAsia="標楷體" w:hint="eastAsia"/>
          <w:sz w:val="26"/>
          <w:lang w:val="x-none"/>
        </w:rPr>
        <w:t>提升</w:t>
      </w:r>
      <w:r w:rsidRPr="00D15001">
        <w:rPr>
          <w:rFonts w:eastAsia="標楷體" w:hint="eastAsia"/>
          <w:sz w:val="26"/>
          <w:lang w:val="x-none"/>
        </w:rPr>
        <w:t>生產效率，更重要的是商譽維護。此外，食品業有些分業講究手工製作和人情味，在製造自動化方面不適合全部機械化，而是人機協同作業。因此食品業與電子業自動化需求有所不同，在兩岸飲食文化相近的背景下，產品相似度高，極為適合做為探討兩岸自動化趨勢的行業項目。</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lang w:val="x-none"/>
        </w:rPr>
        <w:t>一</w:t>
      </w:r>
      <w:r w:rsidRPr="00D15001">
        <w:rPr>
          <w:rFonts w:eastAsia="標楷體"/>
          <w:b/>
          <w:bCs/>
          <w:sz w:val="36"/>
          <w:szCs w:val="36"/>
          <w:lang w:val="x-none" w:eastAsia="x-none"/>
        </w:rPr>
        <w:t>、</w:t>
      </w:r>
      <w:r w:rsidRPr="00D15001">
        <w:rPr>
          <w:rFonts w:eastAsia="標楷體" w:hint="eastAsia"/>
          <w:b/>
          <w:bCs/>
          <w:sz w:val="36"/>
          <w:szCs w:val="36"/>
        </w:rPr>
        <w:t>中國大陸現況</w:t>
      </w:r>
    </w:p>
    <w:p w:rsidR="004163FA" w:rsidRPr="00D15001" w:rsidRDefault="004163FA" w:rsidP="004163FA">
      <w:pPr>
        <w:spacing w:beforeLines="30" w:before="108" w:afterLines="30" w:after="108" w:line="520" w:lineRule="exact"/>
        <w:ind w:firstLineChars="200" w:firstLine="520"/>
        <w:jc w:val="both"/>
        <w:rPr>
          <w:rFonts w:eastAsia="標楷體"/>
          <w:color w:val="000000"/>
          <w:sz w:val="26"/>
          <w:lang w:val="x-none"/>
        </w:rPr>
      </w:pPr>
      <w:r w:rsidRPr="00D15001">
        <w:rPr>
          <w:rFonts w:eastAsia="標楷體" w:hint="eastAsia"/>
          <w:color w:val="000000"/>
          <w:sz w:val="26"/>
          <w:lang w:val="x-none"/>
        </w:rPr>
        <w:t>中國大陸食品業自動化應用情況，在大型食品業者和標準化產品的自動化程度不亞於臺灣同等規模業者，對於需要高潔淨生產環境和可標準化製程皆已高度自動化。目前中國大陸食品業自動化最受關注的為包裝製程</w:t>
      </w:r>
      <w:r w:rsidRPr="00D15001">
        <w:rPr>
          <w:rFonts w:eastAsia="標楷體" w:hint="eastAsia"/>
          <w:color w:val="000000"/>
          <w:sz w:val="26"/>
          <w:lang w:val="x-none"/>
        </w:rPr>
        <w:lastRenderedPageBreak/>
        <w:t>自動化。</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中國大陸食品業工業機器人主要應用疊棧、搬運、包裝和拾取等製程。使用工業機器人有</w:t>
      </w:r>
      <w:r w:rsidRPr="00D15001">
        <w:rPr>
          <w:rFonts w:eastAsia="標楷體"/>
          <w:sz w:val="26"/>
        </w:rPr>
        <w:t>43%</w:t>
      </w:r>
      <w:r w:rsidRPr="00D15001">
        <w:rPr>
          <w:rFonts w:eastAsia="標楷體" w:hint="eastAsia"/>
          <w:sz w:val="26"/>
        </w:rPr>
        <w:t>為小型負載型（小於</w:t>
      </w:r>
      <w:r w:rsidRPr="00D15001">
        <w:rPr>
          <w:rFonts w:eastAsia="標楷體"/>
          <w:sz w:val="26"/>
        </w:rPr>
        <w:t>50</w:t>
      </w:r>
      <w:r w:rsidRPr="00D15001">
        <w:rPr>
          <w:rFonts w:eastAsia="標楷體" w:hint="eastAsia"/>
          <w:sz w:val="26"/>
        </w:rPr>
        <w:t>公斤），約</w:t>
      </w:r>
      <w:r w:rsidRPr="00D15001">
        <w:rPr>
          <w:rFonts w:eastAsia="標楷體"/>
          <w:sz w:val="26"/>
        </w:rPr>
        <w:t>54%</w:t>
      </w:r>
      <w:r w:rsidRPr="00D15001">
        <w:rPr>
          <w:rFonts w:eastAsia="標楷體" w:hint="eastAsia"/>
          <w:sz w:val="26"/>
        </w:rPr>
        <w:t>為中型負載型（</w:t>
      </w:r>
      <w:r w:rsidRPr="00D15001">
        <w:rPr>
          <w:rFonts w:eastAsia="標楷體"/>
          <w:sz w:val="26"/>
        </w:rPr>
        <w:t>50-200</w:t>
      </w:r>
      <w:r w:rsidRPr="00D15001">
        <w:rPr>
          <w:rFonts w:eastAsia="標楷體" w:hint="eastAsia"/>
          <w:sz w:val="26"/>
        </w:rPr>
        <w:t>公斤），大型負載型（</w:t>
      </w:r>
      <w:r w:rsidRPr="00D15001">
        <w:rPr>
          <w:rFonts w:eastAsia="標楷體"/>
          <w:sz w:val="26"/>
        </w:rPr>
        <w:t>200-500</w:t>
      </w:r>
      <w:r w:rsidRPr="00D15001">
        <w:rPr>
          <w:rFonts w:eastAsia="標楷體" w:hint="eastAsia"/>
          <w:sz w:val="26"/>
        </w:rPr>
        <w:t>公斤）使用量則相當少。不若電子業大量偏好高精度、高準度的小型機器人，也不像汽車產業需要操作大型物件的大型機器人，食品業處於兩者之間，以中小型機器人為主要需求。</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工業機器人使用機型方面，以垂直多關節機器人為最大宗，約佔六成二，多用於大型物件的搬運、疊棧等製程。其次是直角坐標機器人，約占三成，在搬運、疊棧之外的其他製程偏好選用單價低的機型。再其次是</w:t>
      </w:r>
      <w:r w:rsidRPr="00D15001">
        <w:rPr>
          <w:rFonts w:eastAsia="標楷體"/>
          <w:sz w:val="26"/>
        </w:rPr>
        <w:t>Delta</w:t>
      </w:r>
      <w:r w:rsidRPr="00D15001">
        <w:rPr>
          <w:rFonts w:eastAsia="標楷體" w:hint="eastAsia"/>
          <w:sz w:val="26"/>
        </w:rPr>
        <w:t>機器人，雖然目前占整體使用比例偏低，但隨著在高速分揀製程的應用，在裝置數量的成長速度最快。由此可知，中國大陸食品業工業機器人目前使用最廣泛在於耗體力的搬運、疊棧等製程，在挑選、揀取和放置等包裝製程相對應用比例仍偏低。隨著未來食品業自動化發展趨勢，包裝製程為機器人重要應用領域，將帶動</w:t>
      </w:r>
      <w:r w:rsidRPr="00D15001">
        <w:rPr>
          <w:rFonts w:eastAsia="標楷體"/>
          <w:sz w:val="26"/>
        </w:rPr>
        <w:t>Delta</w:t>
      </w:r>
      <w:r w:rsidRPr="00D15001">
        <w:rPr>
          <w:rFonts w:eastAsia="標楷體" w:hint="eastAsia"/>
          <w:sz w:val="26"/>
        </w:rPr>
        <w:t>機器人的裝置數量。</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從企業個案觀察，以杭州娃哈哈和康師傅兩家大型食品業者為例。杭州娃哈哈集團有限公司為一家食品飲料製造商，於</w:t>
      </w:r>
      <w:r w:rsidRPr="00D15001">
        <w:rPr>
          <w:rFonts w:eastAsia="標楷體"/>
          <w:sz w:val="26"/>
        </w:rPr>
        <w:t>1987</w:t>
      </w:r>
      <w:r w:rsidRPr="00D15001">
        <w:rPr>
          <w:rFonts w:eastAsia="標楷體" w:hint="eastAsia"/>
          <w:sz w:val="26"/>
        </w:rPr>
        <w:t>成立，資本額人民幣</w:t>
      </w:r>
      <w:r w:rsidRPr="00D15001">
        <w:rPr>
          <w:rFonts w:eastAsia="標楷體"/>
          <w:sz w:val="26"/>
        </w:rPr>
        <w:t>5</w:t>
      </w:r>
      <w:r>
        <w:rPr>
          <w:rFonts w:eastAsia="標楷體" w:hint="eastAsia"/>
          <w:sz w:val="26"/>
        </w:rPr>
        <w:t>.</w:t>
      </w:r>
      <w:r w:rsidRPr="00D15001">
        <w:rPr>
          <w:rFonts w:eastAsia="標楷體"/>
          <w:sz w:val="26"/>
        </w:rPr>
        <w:t>2</w:t>
      </w:r>
      <w:r w:rsidR="00CA3B6F">
        <w:rPr>
          <w:rFonts w:eastAsia="標楷體" w:hint="eastAsia"/>
          <w:sz w:val="26"/>
        </w:rPr>
        <w:t>億</w:t>
      </w:r>
      <w:r w:rsidRPr="00D15001">
        <w:rPr>
          <w:rFonts w:eastAsia="標楷體" w:hint="eastAsia"/>
          <w:sz w:val="26"/>
        </w:rPr>
        <w:t>元，員工數約</w:t>
      </w:r>
      <w:r w:rsidRPr="00D15001">
        <w:rPr>
          <w:rFonts w:eastAsia="標楷體"/>
          <w:sz w:val="26"/>
        </w:rPr>
        <w:t>3</w:t>
      </w:r>
      <w:r w:rsidRPr="00D15001">
        <w:rPr>
          <w:rFonts w:eastAsia="標楷體" w:hint="eastAsia"/>
          <w:sz w:val="26"/>
        </w:rPr>
        <w:t>萬人，</w:t>
      </w:r>
      <w:r w:rsidRPr="00D15001">
        <w:rPr>
          <w:rFonts w:eastAsia="標楷體"/>
          <w:sz w:val="26"/>
        </w:rPr>
        <w:t>2013</w:t>
      </w:r>
      <w:r w:rsidRPr="00D15001">
        <w:rPr>
          <w:rFonts w:eastAsia="標楷體" w:hint="eastAsia"/>
          <w:sz w:val="26"/>
        </w:rPr>
        <w:t>營收總額人民幣</w:t>
      </w:r>
      <w:r>
        <w:rPr>
          <w:rFonts w:eastAsia="標楷體"/>
          <w:sz w:val="26"/>
        </w:rPr>
        <w:t>636</w:t>
      </w:r>
      <w:r>
        <w:rPr>
          <w:rFonts w:eastAsia="標楷體" w:hint="eastAsia"/>
          <w:sz w:val="26"/>
        </w:rPr>
        <w:t>.3</w:t>
      </w:r>
      <w:r>
        <w:rPr>
          <w:rFonts w:eastAsia="標楷體" w:hint="eastAsia"/>
          <w:sz w:val="26"/>
        </w:rPr>
        <w:t>億</w:t>
      </w:r>
      <w:r w:rsidRPr="00D15001">
        <w:rPr>
          <w:rFonts w:eastAsia="標楷體" w:hint="eastAsia"/>
          <w:sz w:val="26"/>
        </w:rPr>
        <w:t>元。主要產品有含乳飲料、瓶裝水、碳酸飲料、茶飲料、果汁飲料、罐頭食品、醫藥保健品、休閒食品、嬰兒奶粉等</w:t>
      </w:r>
      <w:r w:rsidRPr="00D15001">
        <w:rPr>
          <w:rFonts w:eastAsia="標楷體"/>
          <w:sz w:val="26"/>
        </w:rPr>
        <w:t>150</w:t>
      </w:r>
      <w:r w:rsidRPr="00D15001">
        <w:rPr>
          <w:rFonts w:eastAsia="標楷體" w:hint="eastAsia"/>
          <w:sz w:val="26"/>
        </w:rPr>
        <w:t>多種品項，其中瓶裝水和含乳飲料、八寶粥罐頭多年來在中國大陸市占率第一。</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該公司相當積極投入自動化生產線技術，不但自主研發高速</w:t>
      </w:r>
      <w:r w:rsidRPr="00D15001">
        <w:rPr>
          <w:rFonts w:eastAsia="標楷體"/>
          <w:sz w:val="26"/>
        </w:rPr>
        <w:t>Delta</w:t>
      </w:r>
      <w:r w:rsidRPr="00D15001">
        <w:rPr>
          <w:rFonts w:eastAsia="標楷體" w:hint="eastAsia"/>
          <w:sz w:val="26"/>
        </w:rPr>
        <w:t>機器人，使用於包裝製程，還向瀋陽鼎冷機電設備公司採購疊棧機系統，用於產品整箱搬運和堆疊。目前自動化包裝製程技術已達國際水準，因而提高勞動生產力，位列同行前列。</w:t>
      </w:r>
      <w:r w:rsidRPr="00D15001">
        <w:rPr>
          <w:rFonts w:eastAsia="標楷體"/>
          <w:sz w:val="26"/>
        </w:rPr>
        <w:t>2014</w:t>
      </w:r>
      <w:r w:rsidRPr="00D15001">
        <w:rPr>
          <w:rFonts w:eastAsia="標楷體" w:hint="eastAsia"/>
          <w:sz w:val="26"/>
        </w:rPr>
        <w:t>年</w:t>
      </w:r>
      <w:r w:rsidRPr="00D15001">
        <w:rPr>
          <w:rFonts w:eastAsia="標楷體"/>
          <w:sz w:val="26"/>
        </w:rPr>
        <w:t>9</w:t>
      </w:r>
      <w:r w:rsidRPr="00D15001">
        <w:rPr>
          <w:rFonts w:eastAsia="標楷體" w:hint="eastAsia"/>
          <w:sz w:val="26"/>
        </w:rPr>
        <w:t>月該公司表示已與中國航天科工集團公司第三研究院達成合作意願，可能共同成立公司研發智慧型機器人，</w:t>
      </w:r>
      <w:r w:rsidRPr="00D15001">
        <w:rPr>
          <w:rFonts w:eastAsia="標楷體" w:hint="eastAsia"/>
          <w:sz w:val="26"/>
        </w:rPr>
        <w:lastRenderedPageBreak/>
        <w:t>進軍機器人產業，聚焦技術和產業化合作。</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康師傅控股有限公司於</w:t>
      </w:r>
      <w:r w:rsidRPr="00D15001">
        <w:rPr>
          <w:rFonts w:eastAsia="標楷體"/>
          <w:sz w:val="26"/>
        </w:rPr>
        <w:t>1992</w:t>
      </w:r>
      <w:r w:rsidRPr="00D15001">
        <w:rPr>
          <w:rFonts w:eastAsia="標楷體" w:hint="eastAsia"/>
          <w:sz w:val="26"/>
        </w:rPr>
        <w:t>年成立，資本額人民幣</w:t>
      </w:r>
      <w:r>
        <w:rPr>
          <w:rFonts w:eastAsia="標楷體"/>
          <w:sz w:val="26"/>
        </w:rPr>
        <w:t>1</w:t>
      </w:r>
      <w:r w:rsidRPr="00D15001">
        <w:rPr>
          <w:rFonts w:eastAsia="標楷體"/>
          <w:sz w:val="26"/>
        </w:rPr>
        <w:t>20</w:t>
      </w:r>
      <w:r>
        <w:rPr>
          <w:rFonts w:eastAsia="標楷體" w:hint="eastAsia"/>
          <w:sz w:val="26"/>
        </w:rPr>
        <w:t>億</w:t>
      </w:r>
      <w:r w:rsidRPr="00D15001">
        <w:rPr>
          <w:rFonts w:eastAsia="標楷體" w:hint="eastAsia"/>
          <w:sz w:val="26"/>
        </w:rPr>
        <w:t>元，員工數約</w:t>
      </w:r>
      <w:r w:rsidRPr="00D15001">
        <w:rPr>
          <w:rFonts w:eastAsia="標楷體"/>
          <w:sz w:val="26"/>
        </w:rPr>
        <w:t>5</w:t>
      </w:r>
      <w:r w:rsidRPr="00D15001">
        <w:rPr>
          <w:rFonts w:eastAsia="標楷體" w:hint="eastAsia"/>
          <w:sz w:val="26"/>
        </w:rPr>
        <w:t>萬人，</w:t>
      </w:r>
      <w:r w:rsidRPr="00D15001">
        <w:rPr>
          <w:rFonts w:eastAsia="標楷體"/>
          <w:sz w:val="26"/>
        </w:rPr>
        <w:t>2013</w:t>
      </w:r>
      <w:r w:rsidRPr="00D15001">
        <w:rPr>
          <w:rFonts w:eastAsia="標楷體" w:hint="eastAsia"/>
          <w:sz w:val="26"/>
        </w:rPr>
        <w:t>年營收總額人民幣</w:t>
      </w:r>
      <w:r>
        <w:rPr>
          <w:rFonts w:eastAsia="標楷體"/>
          <w:sz w:val="26"/>
        </w:rPr>
        <w:t>6</w:t>
      </w:r>
      <w:r w:rsidRPr="00D15001">
        <w:rPr>
          <w:rFonts w:eastAsia="標楷體"/>
          <w:sz w:val="26"/>
        </w:rPr>
        <w:t>00</w:t>
      </w:r>
      <w:r>
        <w:rPr>
          <w:rFonts w:eastAsia="標楷體" w:hint="eastAsia"/>
          <w:sz w:val="26"/>
        </w:rPr>
        <w:t>億</w:t>
      </w:r>
      <w:r w:rsidRPr="00D15001">
        <w:rPr>
          <w:rFonts w:eastAsia="標楷體" w:hint="eastAsia"/>
          <w:sz w:val="26"/>
        </w:rPr>
        <w:t>元。主要產品有速食麵、飲料和糕餅。該公司在中國大經營生產和銷售業務，</w:t>
      </w:r>
      <w:r w:rsidRPr="00D15001">
        <w:rPr>
          <w:rFonts w:eastAsia="標楷體"/>
          <w:sz w:val="26"/>
        </w:rPr>
        <w:t>2012</w:t>
      </w:r>
      <w:r w:rsidRPr="00D15001">
        <w:rPr>
          <w:rFonts w:eastAsia="標楷體" w:hint="eastAsia"/>
          <w:sz w:val="26"/>
        </w:rPr>
        <w:t>年在中國大陸市場銷售量，速食麵市占率</w:t>
      </w:r>
      <w:r w:rsidRPr="00D15001">
        <w:rPr>
          <w:rFonts w:eastAsia="標楷體"/>
          <w:sz w:val="26"/>
        </w:rPr>
        <w:t>43.8%</w:t>
      </w:r>
      <w:r w:rsidRPr="00D15001">
        <w:rPr>
          <w:rFonts w:eastAsia="標楷體" w:hint="eastAsia"/>
          <w:sz w:val="26"/>
        </w:rPr>
        <w:t>，茶飲料市占率</w:t>
      </w:r>
      <w:r w:rsidRPr="00D15001">
        <w:rPr>
          <w:rFonts w:eastAsia="標楷體"/>
          <w:sz w:val="26"/>
        </w:rPr>
        <w:t>47.5%</w:t>
      </w:r>
      <w:r w:rsidRPr="00D15001">
        <w:rPr>
          <w:rFonts w:eastAsia="標楷體" w:hint="eastAsia"/>
          <w:sz w:val="26"/>
        </w:rPr>
        <w:t>，穩居第一位。包裝水、稀釋果汁、碳酸飲料和夾心餅乾市占率分別為</w:t>
      </w:r>
      <w:r w:rsidRPr="00D15001">
        <w:rPr>
          <w:rFonts w:eastAsia="標楷體"/>
          <w:sz w:val="26"/>
        </w:rPr>
        <w:t>20.6%</w:t>
      </w:r>
      <w:r w:rsidRPr="00D15001">
        <w:rPr>
          <w:rFonts w:eastAsia="標楷體" w:hint="eastAsia"/>
          <w:sz w:val="26"/>
        </w:rPr>
        <w:t>、</w:t>
      </w:r>
      <w:r w:rsidRPr="00D15001">
        <w:rPr>
          <w:rFonts w:eastAsia="標楷體"/>
          <w:sz w:val="26"/>
        </w:rPr>
        <w:t>27.0%</w:t>
      </w:r>
      <w:r w:rsidRPr="00D15001">
        <w:rPr>
          <w:rFonts w:eastAsia="標楷體" w:hint="eastAsia"/>
          <w:sz w:val="26"/>
        </w:rPr>
        <w:t>、</w:t>
      </w:r>
      <w:r w:rsidRPr="00D15001">
        <w:rPr>
          <w:rFonts w:eastAsia="標楷體"/>
          <w:sz w:val="26"/>
        </w:rPr>
        <w:t>33.9%</w:t>
      </w:r>
      <w:r w:rsidRPr="00D15001">
        <w:rPr>
          <w:rFonts w:eastAsia="標楷體" w:hint="eastAsia"/>
          <w:sz w:val="26"/>
        </w:rPr>
        <w:t>和</w:t>
      </w:r>
      <w:r w:rsidRPr="00D15001">
        <w:rPr>
          <w:rFonts w:eastAsia="標楷體"/>
          <w:sz w:val="26"/>
        </w:rPr>
        <w:t>24.4%</w:t>
      </w:r>
      <w:r w:rsidRPr="00D15001">
        <w:rPr>
          <w:rFonts w:eastAsia="標楷體" w:hint="eastAsia"/>
          <w:sz w:val="26"/>
        </w:rPr>
        <w:t>，位居第二名。該公司</w:t>
      </w:r>
      <w:r>
        <w:rPr>
          <w:rFonts w:eastAsia="標楷體" w:hint="eastAsia"/>
          <w:sz w:val="26"/>
        </w:rPr>
        <w:t>在自動化生產線</w:t>
      </w:r>
      <w:r w:rsidRPr="00D15001">
        <w:rPr>
          <w:rFonts w:eastAsia="標楷體" w:hint="eastAsia"/>
          <w:sz w:val="26"/>
        </w:rPr>
        <w:t>相對於同業生產技先進，從德國、日本和臺灣原裝引進設備，使用大量機器人在堆疊、包裝製程，未來將持續擴大機器人的應用。</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上述大型食品業者在自動化生產線應用相對純熟，而</w:t>
      </w:r>
      <w:r w:rsidRPr="00D15001">
        <w:rPr>
          <w:rFonts w:eastAsia="標楷體" w:hint="eastAsia"/>
          <w:color w:val="000000"/>
          <w:sz w:val="26"/>
          <w:lang w:val="x-none"/>
        </w:rPr>
        <w:t>中小型食品業者在實現製造自動化有一定難度，主要因為對自動化資訊不充足、低利潤難以負荷高設備成本等因素，導致自動化程度落後</w:t>
      </w:r>
      <w:r w:rsidRPr="00D15001">
        <w:rPr>
          <w:rFonts w:eastAsia="標楷體" w:hint="eastAsia"/>
          <w:sz w:val="26"/>
        </w:rPr>
        <w:t>。</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目前中國大陸食品業在包裝製程自動化最為熱門，資訊自動化尚未普及。包裝製程自動化可分為集合包裝、外包裝和內包裝，自動化難易度分別為集合包裝易於外包裝、內包裝最難。集合包裝自動化指將已完成外包裝的產品堆疊在棧板上，進行粗重搬運工作；外包裝自動化指裝盒、裝箱作業，困難點在於形狀、數量、位置準確性等；內包裝自動化指挑選、包裝和拾取等作業，困難點在於取料位置、物料性質、形狀、數量等。以集合包裝自動化最為純熟，正逐漸擴大到外包裝自動化應用，內包裝自動化最為困難，也是目前須突破的應用領域。</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rPr>
        <w:t>二、臺灣現況</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臺灣食品業在不同經營規模和分業的自動化程度差異大，加上食品業為傳統產業，在自動化方面資訊不對稱問題相當嚴重。從經營規模來看，大、中、小型食品業者由於本身擁有的資訊和資源落差，在製造自動化方面大型業者度部分製程已自動化，中型業者也有一定的機械化程度，小型</w:t>
      </w:r>
      <w:r w:rsidRPr="00D15001">
        <w:rPr>
          <w:rFonts w:eastAsia="標楷體" w:hint="eastAsia"/>
          <w:sz w:val="26"/>
          <w:lang w:val="x-none"/>
        </w:rPr>
        <w:lastRenderedPageBreak/>
        <w:t>業者則連機械化程度都相當低。在資訊自動化方面，僅製造自動化程度高的大型業者才有導入資訊系統，將殺菌溫度、充填情況等製程資訊蒐集到中央電腦，可即時調配調控生產製程和製作各式報表。然而這樣的資訊化系統成本相當高，對於食品業這種低利潤的傳統產業而言，臺灣只有少數具規模業者才負擔的起，最具代表性的如統一。</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從行業別來看，食</w:t>
      </w:r>
      <w:r w:rsidRPr="001D01D3">
        <w:rPr>
          <w:rFonts w:eastAsia="標楷體" w:hint="eastAsia"/>
          <w:spacing w:val="-2"/>
          <w:sz w:val="26"/>
          <w:lang w:val="x-none"/>
        </w:rPr>
        <w:t>品業共有</w:t>
      </w:r>
      <w:r w:rsidRPr="001D01D3">
        <w:rPr>
          <w:rFonts w:eastAsia="標楷體" w:hint="eastAsia"/>
          <w:spacing w:val="-2"/>
          <w:sz w:val="26"/>
          <w:lang w:val="x-none"/>
        </w:rPr>
        <w:t>22</w:t>
      </w:r>
      <w:r w:rsidRPr="001D01D3">
        <w:rPr>
          <w:rFonts w:eastAsia="標楷體" w:hint="eastAsia"/>
          <w:spacing w:val="-2"/>
          <w:sz w:val="26"/>
          <w:lang w:val="x-none"/>
        </w:rPr>
        <w:t>分業，每個分業的自動化程度和需求不同，標準化產品大部分已高度自動化，而非標準化產品則自動化程度相當低。前者如飲料業，從進料、生產到包裝整線自動化程度相當高。後者如鮮食業，以統一武藏野為例，在食材裝盒製程就兩、三百人在廠內作業。臺灣鮮食業在裝盒製程仍全部使用人力，到目前為止仍無法自動化。此外，食品還有特殊行業特性，像是需要手工製作和人情味等，所以在某些分業完全製造自動化並非發展</w:t>
      </w:r>
      <w:r w:rsidRPr="00D15001">
        <w:rPr>
          <w:rFonts w:eastAsia="標楷體" w:hint="eastAsia"/>
          <w:sz w:val="26"/>
          <w:lang w:val="x-none"/>
        </w:rPr>
        <w:t>目標，而是以人機協同方式來滿足自動化需求。</w:t>
      </w:r>
    </w:p>
    <w:p w:rsidR="004163FA" w:rsidRPr="00D15001" w:rsidRDefault="004163FA" w:rsidP="004163FA">
      <w:pPr>
        <w:spacing w:beforeLines="30" w:before="108" w:afterLines="30" w:after="108" w:line="520" w:lineRule="exact"/>
        <w:ind w:firstLineChars="200" w:firstLine="520"/>
        <w:jc w:val="both"/>
        <w:rPr>
          <w:rFonts w:eastAsia="標楷體"/>
          <w:color w:val="000000"/>
          <w:sz w:val="26"/>
          <w:lang w:val="x-none"/>
        </w:rPr>
      </w:pPr>
      <w:r>
        <w:rPr>
          <w:rFonts w:eastAsia="標楷體" w:hint="eastAsia"/>
          <w:color w:val="000000"/>
          <w:sz w:val="26"/>
          <w:lang w:val="x-none"/>
        </w:rPr>
        <w:t>從</w:t>
      </w:r>
      <w:r w:rsidRPr="00D15001">
        <w:rPr>
          <w:rFonts w:eastAsia="標楷體" w:hint="eastAsia"/>
          <w:color w:val="000000"/>
          <w:sz w:val="26"/>
          <w:lang w:val="x-none"/>
        </w:rPr>
        <w:t>供應面來看，臺灣食品機械為中階設備為主，且高達七八成外銷，主要是因為臺灣是市場規模不夠，利潤率低，使得業者偏好供應國外廠商。以包裝機械為例，為臺灣</w:t>
      </w:r>
      <w:r>
        <w:rPr>
          <w:rFonts w:eastAsia="標楷體" w:hint="eastAsia"/>
          <w:color w:val="000000"/>
          <w:sz w:val="26"/>
          <w:lang w:val="x-none"/>
        </w:rPr>
        <w:t>食品機械</w:t>
      </w:r>
      <w:r w:rsidRPr="00D15001">
        <w:rPr>
          <w:rFonts w:eastAsia="標楷體" w:hint="eastAsia"/>
          <w:color w:val="000000"/>
          <w:sz w:val="26"/>
          <w:lang w:val="x-none"/>
        </w:rPr>
        <w:t>出口的最大宗，</w:t>
      </w:r>
      <w:r>
        <w:rPr>
          <w:rFonts w:eastAsia="標楷體" w:hint="eastAsia"/>
          <w:color w:val="000000"/>
          <w:sz w:val="26"/>
          <w:lang w:val="x-none"/>
        </w:rPr>
        <w:t>但以中階技術設備為主，非先進的無菌充填、高速充填技術。由於</w:t>
      </w:r>
      <w:r w:rsidRPr="00D15001">
        <w:rPr>
          <w:rFonts w:eastAsia="標楷體" w:hint="eastAsia"/>
          <w:color w:val="000000"/>
          <w:sz w:val="26"/>
          <w:lang w:val="x-none"/>
        </w:rPr>
        <w:t>受限於臺灣無規模市場，</w:t>
      </w:r>
      <w:r>
        <w:rPr>
          <w:rFonts w:eastAsia="標楷體" w:hint="eastAsia"/>
          <w:color w:val="000000"/>
          <w:sz w:val="26"/>
          <w:lang w:val="x-none"/>
        </w:rPr>
        <w:t>業者</w:t>
      </w:r>
      <w:r w:rsidRPr="00D15001">
        <w:rPr>
          <w:rFonts w:eastAsia="標楷體" w:hint="eastAsia"/>
          <w:color w:val="000000"/>
          <w:sz w:val="26"/>
          <w:lang w:val="x-none"/>
        </w:rPr>
        <w:t>在投入研發</w:t>
      </w:r>
      <w:r>
        <w:rPr>
          <w:rFonts w:eastAsia="標楷體" w:hint="eastAsia"/>
          <w:color w:val="000000"/>
          <w:sz w:val="26"/>
          <w:lang w:val="x-none"/>
        </w:rPr>
        <w:t>的</w:t>
      </w:r>
      <w:r w:rsidRPr="00D15001">
        <w:rPr>
          <w:rFonts w:eastAsia="標楷體" w:hint="eastAsia"/>
          <w:color w:val="000000"/>
          <w:sz w:val="26"/>
          <w:lang w:val="x-none"/>
        </w:rPr>
        <w:t>力道</w:t>
      </w:r>
      <w:r>
        <w:rPr>
          <w:rFonts w:eastAsia="標楷體" w:hint="eastAsia"/>
          <w:color w:val="000000"/>
          <w:sz w:val="26"/>
          <w:lang w:val="x-none"/>
        </w:rPr>
        <w:t>相較</w:t>
      </w:r>
      <w:r w:rsidRPr="00D15001">
        <w:rPr>
          <w:rFonts w:eastAsia="標楷體" w:hint="eastAsia"/>
          <w:color w:val="000000"/>
          <w:sz w:val="26"/>
          <w:lang w:val="x-none"/>
        </w:rPr>
        <w:t>不足。臺灣需求者則偏愛國外設備或者臺灣無法購置，反而從國外購置臺灣製食品機械，形成「需求者不愛用國貨、供應者不愛在臺銷售」的特殊現象。在成型和烘培機械方面，則以銷售機械兼製程方式，在市場上有一定的競爭力，但只屬於一般技術的設備。</w:t>
      </w:r>
    </w:p>
    <w:p w:rsidR="004163FA" w:rsidRPr="00D15001" w:rsidRDefault="004163FA" w:rsidP="004163FA">
      <w:pPr>
        <w:spacing w:beforeLines="30" w:before="108" w:afterLines="30" w:after="108" w:line="520" w:lineRule="exact"/>
        <w:ind w:firstLineChars="200" w:firstLine="520"/>
        <w:jc w:val="both"/>
        <w:rPr>
          <w:rFonts w:eastAsia="標楷體"/>
          <w:color w:val="000000"/>
          <w:sz w:val="26"/>
          <w:lang w:val="x-none"/>
        </w:rPr>
      </w:pPr>
      <w:r w:rsidRPr="00D15001">
        <w:rPr>
          <w:rFonts w:eastAsia="標楷體" w:hint="eastAsia"/>
          <w:color w:val="000000"/>
          <w:sz w:val="26"/>
          <w:lang w:val="x-none"/>
        </w:rPr>
        <w:t>而中國大陸在先進食品機械的技術研發相當積極，像是非熱加工技術已超越臺灣，這是一種新興的食品加工技術，透過超高壓、脈衝等技術進行電殺菌和萃取等處理，與傳統的熱加工不同，更可以保持食物原來的質地。臺灣由於資源有限無法投入所有領域設備研發，市場規模也不大，難以開發新型專用機械。中國大陸食品機械目前</w:t>
      </w:r>
      <w:r>
        <w:rPr>
          <w:rFonts w:eastAsia="標楷體" w:hint="eastAsia"/>
          <w:color w:val="000000"/>
          <w:sz w:val="26"/>
          <w:lang w:val="x-none"/>
        </w:rPr>
        <w:t>整體</w:t>
      </w:r>
      <w:r w:rsidRPr="00D15001">
        <w:rPr>
          <w:rFonts w:eastAsia="標楷體" w:hint="eastAsia"/>
          <w:color w:val="000000"/>
          <w:sz w:val="26"/>
          <w:lang w:val="x-none"/>
        </w:rPr>
        <w:t>雖然還處於低水平，但是先進設備的研發速度比臺灣快很多，而初期品質雖不穩定，但相較於臺</w:t>
      </w:r>
      <w:r w:rsidRPr="00D15001">
        <w:rPr>
          <w:rFonts w:eastAsia="標楷體" w:hint="eastAsia"/>
          <w:color w:val="000000"/>
          <w:sz w:val="26"/>
          <w:lang w:val="x-none"/>
        </w:rPr>
        <w:lastRenderedPageBreak/>
        <w:t>灣發展速度相當快，不久將來就會超越臺灣，因此兩岸應尋求合作的可能性。</w:t>
      </w:r>
      <w:r>
        <w:rPr>
          <w:rFonts w:eastAsia="標楷體" w:hint="eastAsia"/>
          <w:color w:val="000000"/>
          <w:sz w:val="26"/>
          <w:lang w:val="x-none"/>
        </w:rPr>
        <w:t>然而食品機械技術的高低與食品業自動化程度雖然非等號關係，但食品機械影響食品生產技術甚遠，臺灣食品業除了朝合適的自動化發展，也要同時精進生產技術，才能提升整體產業競爭力。</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rPr>
        <w:t>三、兩岸食品業自動化競爭趨勢</w:t>
      </w:r>
    </w:p>
    <w:p w:rsidR="00DA5B83"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食品業分業眾多且差異性大，目前兩岸食品業標準化產品皆以高度自動化，中國大陸食品業著重在製造自動化的後段包裝，資訊自動化尚不足，是未來努力發展的目標。而非標準化產品由於部分有手工現做和人情味等特殊的行業特性，需要發展的為人機協同作業，而既要人機協同也要資訊自動化為自動化的最高境界，未來同時兼具兩者是努力的目標（見圖</w:t>
      </w:r>
      <w:r w:rsidRPr="00D10E1E">
        <w:rPr>
          <w:rFonts w:eastAsia="標楷體"/>
          <w:sz w:val="26"/>
        </w:rPr>
        <w:t>5-</w:t>
      </w:r>
      <w:r w:rsidR="00D10E1E" w:rsidRPr="00D10E1E">
        <w:rPr>
          <w:rFonts w:eastAsia="標楷體" w:hint="eastAsia"/>
          <w:sz w:val="26"/>
        </w:rPr>
        <w:t>5</w:t>
      </w:r>
      <w:r w:rsidRPr="00D10E1E">
        <w:rPr>
          <w:rFonts w:eastAsia="標楷體" w:hint="eastAsia"/>
          <w:sz w:val="26"/>
        </w:rPr>
        <w:t>）</w:t>
      </w:r>
      <w:r w:rsidRPr="00D15001">
        <w:rPr>
          <w:rFonts w:eastAsia="標楷體" w:hint="eastAsia"/>
          <w:sz w:val="26"/>
        </w:rPr>
        <w:t>。</w:t>
      </w:r>
    </w:p>
    <w:p w:rsidR="004163FA" w:rsidRPr="00D15001" w:rsidRDefault="00796180" w:rsidP="004163FA">
      <w:pPr>
        <w:spacing w:beforeLines="30" w:before="108" w:afterLines="30" w:after="108"/>
        <w:jc w:val="center"/>
        <w:rPr>
          <w:rFonts w:eastAsia="標楷體"/>
          <w:sz w:val="26"/>
        </w:rPr>
      </w:pPr>
      <w:r>
        <w:rPr>
          <w:rFonts w:eastAsia="標楷體"/>
          <w:noProof/>
          <w:sz w:val="26"/>
        </w:rPr>
        <w:drawing>
          <wp:inline distT="0" distB="0" distL="0" distR="0">
            <wp:extent cx="5404485" cy="1501140"/>
            <wp:effectExtent l="0" t="0" r="5715" b="3810"/>
            <wp:docPr id="2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4485" cy="1501140"/>
                    </a:xfrm>
                    <a:prstGeom prst="rect">
                      <a:avLst/>
                    </a:prstGeom>
                    <a:noFill/>
                    <a:ln>
                      <a:noFill/>
                    </a:ln>
                  </pic:spPr>
                </pic:pic>
              </a:graphicData>
            </a:graphic>
          </wp:inline>
        </w:drawing>
      </w:r>
    </w:p>
    <w:p w:rsidR="004163FA" w:rsidRPr="00D15001" w:rsidRDefault="004163FA" w:rsidP="004163FA">
      <w:pPr>
        <w:rPr>
          <w:rFonts w:eastAsia="標楷體"/>
          <w:sz w:val="20"/>
        </w:rPr>
      </w:pPr>
      <w:r w:rsidRPr="00D15001">
        <w:rPr>
          <w:rFonts w:eastAsia="標楷體" w:hint="eastAsia"/>
          <w:sz w:val="20"/>
        </w:rPr>
        <w:t>資料來源：本研究繪製。</w:t>
      </w:r>
    </w:p>
    <w:p w:rsidR="004163FA" w:rsidRPr="00B014B3" w:rsidRDefault="004163FA" w:rsidP="00B014B3">
      <w:pPr>
        <w:pStyle w:val="af0"/>
      </w:pPr>
      <w:bookmarkStart w:id="71" w:name="_Toc405462642"/>
      <w:r w:rsidRPr="00D15001">
        <w:rPr>
          <w:rFonts w:hint="eastAsia"/>
        </w:rPr>
        <w:t>圖</w:t>
      </w:r>
      <w:r w:rsidRPr="00D15001">
        <w:t>5-5</w:t>
      </w:r>
      <w:r w:rsidRPr="00D15001">
        <w:rPr>
          <w:rFonts w:hint="eastAsia"/>
        </w:rPr>
        <w:t xml:space="preserve">　兩岸食品業自動化競爭示意圖</w:t>
      </w:r>
      <w:bookmarkEnd w:id="71"/>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rPr>
        <w:t>在</w:t>
      </w:r>
      <w:r w:rsidRPr="00D15001">
        <w:rPr>
          <w:rFonts w:eastAsia="標楷體" w:hint="eastAsia"/>
          <w:sz w:val="26"/>
          <w:lang w:val="x-none"/>
        </w:rPr>
        <w:t>製造自動化方面，全球各大知名食品廠的</w:t>
      </w:r>
      <w:r>
        <w:rPr>
          <w:rFonts w:eastAsia="標楷體" w:hint="eastAsia"/>
          <w:sz w:val="26"/>
          <w:lang w:val="x-none"/>
        </w:rPr>
        <w:t>在標準化產品</w:t>
      </w:r>
      <w:r w:rsidRPr="00D15001">
        <w:rPr>
          <w:rFonts w:eastAsia="標楷體" w:hint="eastAsia"/>
          <w:sz w:val="26"/>
          <w:lang w:val="x-none"/>
        </w:rPr>
        <w:t>生產製程幾乎是無人化或者少人化，就連臺商在中國大陸設廠的食品廠也僅後段包裝需</w:t>
      </w:r>
      <w:r>
        <w:rPr>
          <w:rFonts w:eastAsia="標楷體" w:hint="eastAsia"/>
          <w:sz w:val="26"/>
          <w:lang w:val="x-none"/>
        </w:rPr>
        <w:t>要大量人力，其餘皆已高度製造自動化。整體而言，目前製造自動化僅剩後段的包裝自動化仍大量使用人力，以因應多樣化、彈性包裝需求，因此</w:t>
      </w:r>
      <w:r w:rsidRPr="00D15001">
        <w:rPr>
          <w:rFonts w:eastAsia="標楷體" w:hint="eastAsia"/>
          <w:sz w:val="26"/>
          <w:lang w:val="x-none"/>
        </w:rPr>
        <w:t>改善包裝流程為目前</w:t>
      </w:r>
      <w:r>
        <w:rPr>
          <w:rFonts w:eastAsia="標楷體" w:hint="eastAsia"/>
          <w:sz w:val="26"/>
          <w:lang w:val="x-none"/>
        </w:rPr>
        <w:t>兩岸</w:t>
      </w:r>
      <w:r w:rsidRPr="00D15001">
        <w:rPr>
          <w:rFonts w:eastAsia="標楷體" w:hint="eastAsia"/>
          <w:sz w:val="26"/>
          <w:lang w:val="x-none"/>
        </w:rPr>
        <w:t>食品業自動化發展重點。</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目前在食品包裝自動化方面，主要需求有縮短自動化生產線、彈性自動化生產製程、少量多樣的客製化生產。以飲料業包裝為例，業者經常需</w:t>
      </w:r>
      <w:r w:rsidRPr="00D15001">
        <w:rPr>
          <w:rFonts w:eastAsia="標楷體" w:hint="eastAsia"/>
          <w:sz w:val="26"/>
        </w:rPr>
        <w:lastRenderedPageBreak/>
        <w:t>要滿足不同客戶的包裝需求，在包裝物更換時，設備經常要進行零組件調整。因此視覺功能相當重要，能夠適應不同尺寸和形狀的包裝物，且能夠對不</w:t>
      </w:r>
      <w:r>
        <w:rPr>
          <w:rFonts w:eastAsia="標楷體" w:hint="eastAsia"/>
          <w:sz w:val="26"/>
        </w:rPr>
        <w:t>同種類的食品進行包裝，以及在揀選製程需求度也相當高，未來將是食品業自動化</w:t>
      </w:r>
      <w:r w:rsidRPr="00D15001">
        <w:rPr>
          <w:rFonts w:eastAsia="標楷體" w:hint="eastAsia"/>
          <w:sz w:val="26"/>
        </w:rPr>
        <w:t>競爭重點</w:t>
      </w:r>
      <w:r>
        <w:rPr>
          <w:rFonts w:eastAsia="標楷體" w:hint="eastAsia"/>
          <w:sz w:val="26"/>
        </w:rPr>
        <w:t>之一</w:t>
      </w:r>
      <w:r w:rsidRPr="00D15001">
        <w:rPr>
          <w:rFonts w:eastAsia="標楷體" w:hint="eastAsia"/>
          <w:sz w:val="26"/>
        </w:rPr>
        <w:t>。</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在資訊自動化方面，主要是因應食品安全問題，藉由建立生產履歷能夠即時掌握</w:t>
      </w:r>
      <w:r w:rsidRPr="00D15001">
        <w:rPr>
          <w:rFonts w:eastAsia="標楷體" w:hint="eastAsia"/>
          <w:sz w:val="26"/>
          <w:lang w:val="x-none"/>
        </w:rPr>
        <w:t>查驗與追溯供應鏈，幫助企業第一時間做出最佳處理</w:t>
      </w:r>
      <w:r w:rsidRPr="00D15001">
        <w:rPr>
          <w:rFonts w:eastAsia="標楷體" w:hint="eastAsia"/>
          <w:sz w:val="26"/>
        </w:rPr>
        <w:t>，以維</w:t>
      </w:r>
      <w:r>
        <w:rPr>
          <w:rFonts w:eastAsia="標楷體" w:hint="eastAsia"/>
          <w:sz w:val="26"/>
        </w:rPr>
        <w:t>護商譽為最主要目標。中國大陸目前在這領域著墨尚不多，臺灣則有深厚</w:t>
      </w:r>
      <w:r w:rsidRPr="00D15001">
        <w:rPr>
          <w:rFonts w:eastAsia="標楷體" w:hint="eastAsia"/>
          <w:sz w:val="26"/>
        </w:rPr>
        <w:t>的電子資訊產業</w:t>
      </w:r>
      <w:r>
        <w:rPr>
          <w:rFonts w:eastAsia="標楷體" w:hint="eastAsia"/>
          <w:sz w:val="26"/>
        </w:rPr>
        <w:t>基礎，在發展資訊自動化上具有一定的競爭優勢。</w:t>
      </w:r>
      <w:r w:rsidRPr="00D15001">
        <w:rPr>
          <w:rFonts w:eastAsia="標楷體" w:hint="eastAsia"/>
          <w:sz w:val="26"/>
        </w:rPr>
        <w:t>未來兩岸食品業</w:t>
      </w:r>
      <w:r>
        <w:rPr>
          <w:rFonts w:eastAsia="標楷體" w:hint="eastAsia"/>
          <w:sz w:val="26"/>
        </w:rPr>
        <w:t>自動化競爭趨勢，除了解決製造自動化後段包裝部分，以及針對非標準化和有手工製作需求的產品以人機協同方式導入自動化，在</w:t>
      </w:r>
      <w:r w:rsidRPr="00D15001">
        <w:rPr>
          <w:rFonts w:eastAsia="標楷體" w:hint="eastAsia"/>
          <w:sz w:val="26"/>
        </w:rPr>
        <w:t>資訊自動化</w:t>
      </w:r>
      <w:r>
        <w:rPr>
          <w:rFonts w:eastAsia="標楷體" w:hint="eastAsia"/>
          <w:sz w:val="26"/>
        </w:rPr>
        <w:t>為食品業相當重要的競爭關鍵，</w:t>
      </w:r>
      <w:r w:rsidRPr="00D15001">
        <w:rPr>
          <w:rFonts w:eastAsia="標楷體" w:hint="eastAsia"/>
          <w:sz w:val="26"/>
        </w:rPr>
        <w:t>為臺灣應努力發展的方向。</w:t>
      </w:r>
    </w:p>
    <w:p w:rsidR="004163FA" w:rsidRPr="004373BA" w:rsidRDefault="004163FA" w:rsidP="004373BA">
      <w:pPr>
        <w:pStyle w:val="2"/>
        <w:spacing w:beforeLines="100" w:before="360" w:after="108"/>
      </w:pPr>
      <w:bookmarkStart w:id="72" w:name="_Toc405462599"/>
      <w:r w:rsidRPr="00D15001">
        <w:t>第</w:t>
      </w:r>
      <w:r w:rsidRPr="00D15001">
        <w:rPr>
          <w:rFonts w:hint="eastAsia"/>
        </w:rPr>
        <w:t>三</w:t>
      </w:r>
      <w:r w:rsidRPr="00D15001">
        <w:t xml:space="preserve">節　</w:t>
      </w:r>
      <w:r w:rsidRPr="00D15001">
        <w:rPr>
          <w:rFonts w:hint="eastAsia"/>
        </w:rPr>
        <w:t>臺灣面臨的機會與挑戰</w:t>
      </w:r>
      <w:bookmarkEnd w:id="72"/>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目前中國大陸製造業面臨龐大的轉型升級壓力，試圖從勞動密集型低端製造業轉變至資本和技術密集型高附加價值製造業，也就是提升微笑曲線中段位置，並朝研發和品牌兩端發展。而臺灣是相對成熟的經濟體，製造業歷經外移、轉型升級等較長期的發展過程，製造能力具有一定的領先地位，但近年來中國大陸有急起直追的趨勢，兩岸生產要素價格差距逐步縮小，在臺商作用下產業結構差異越來越小，製造業從互補轉為競爭的態勢越來越明顯。在這樣的情況下，臺灣原有的製造優勢將可能逐漸縮小甚至被超越。尤其是中國大陸積極發展自動化，促進整體產業生產力更快速</w:t>
      </w:r>
      <w:r>
        <w:rPr>
          <w:rFonts w:eastAsia="標楷體" w:hint="eastAsia"/>
          <w:sz w:val="26"/>
        </w:rPr>
        <w:t>提升</w:t>
      </w:r>
      <w:r w:rsidRPr="00D15001">
        <w:rPr>
          <w:rFonts w:eastAsia="標楷體" w:hint="eastAsia"/>
          <w:sz w:val="26"/>
        </w:rPr>
        <w:t>，而經濟成長得以維持，這對臺灣既有機會也是挑戰，如何因應此趨勢成為臺灣的重要課題。</w:t>
      </w:r>
    </w:p>
    <w:p w:rsidR="004163FA" w:rsidRPr="00DA5B83" w:rsidRDefault="004163FA" w:rsidP="00DA5B83">
      <w:pPr>
        <w:pStyle w:val="3"/>
        <w:spacing w:before="72" w:after="72"/>
        <w:rPr>
          <w:rFonts w:ascii="Times New Roman" w:hAnsi="Times New Roman"/>
        </w:rPr>
      </w:pPr>
      <w:r w:rsidRPr="00D15001">
        <w:rPr>
          <w:rFonts w:ascii="Times New Roman" w:hAnsi="Times New Roman" w:hint="eastAsia"/>
        </w:rPr>
        <w:t>壹、臺灣的機會與挑戰</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在自動化趨勢下中國大陸產業供給端快速成長和擴張，需求端則製造</w:t>
      </w:r>
      <w:r w:rsidRPr="00D15001">
        <w:rPr>
          <w:rFonts w:eastAsia="標楷體" w:hint="eastAsia"/>
          <w:sz w:val="26"/>
          <w:lang w:val="x-none"/>
        </w:rPr>
        <w:lastRenderedPageBreak/>
        <w:t>能力不斷</w:t>
      </w:r>
      <w:r>
        <w:rPr>
          <w:rFonts w:eastAsia="標楷體" w:hint="eastAsia"/>
          <w:sz w:val="26"/>
          <w:lang w:val="x-none"/>
        </w:rPr>
        <w:t>提升</w:t>
      </w:r>
      <w:r w:rsidRPr="00D15001">
        <w:rPr>
          <w:rFonts w:eastAsia="標楷體" w:hint="eastAsia"/>
          <w:sz w:val="26"/>
          <w:lang w:val="x-none"/>
        </w:rPr>
        <w:t>，對臺灣而言在不同個體和總體有不同層面的影響。以下</w:t>
      </w:r>
      <w:r w:rsidR="007857E4" w:rsidRPr="007857E4">
        <w:rPr>
          <w:rFonts w:eastAsia="標楷體" w:hint="eastAsia"/>
          <w:color w:val="FF0000"/>
          <w:sz w:val="26"/>
          <w:lang w:val="x-none"/>
        </w:rPr>
        <w:t>就</w:t>
      </w:r>
      <w:r w:rsidRPr="00D15001">
        <w:rPr>
          <w:rFonts w:eastAsia="標楷體" w:hint="eastAsia"/>
          <w:sz w:val="26"/>
          <w:lang w:val="x-none"/>
        </w:rPr>
        <w:t>個體面分為中國大陸臺商和臺灣自動化產業，後者又分為上、中、下游三項；在總體面則從</w:t>
      </w:r>
      <w:r>
        <w:rPr>
          <w:rFonts w:eastAsia="標楷體" w:hint="eastAsia"/>
          <w:sz w:val="26"/>
          <w:lang w:val="x-none"/>
        </w:rPr>
        <w:t>臺灣製造業</w:t>
      </w:r>
      <w:r w:rsidRPr="00D15001">
        <w:rPr>
          <w:rFonts w:eastAsia="標楷體" w:hint="eastAsia"/>
          <w:sz w:val="26"/>
          <w:lang w:val="x-none"/>
        </w:rPr>
        <w:t>角度為出發點，針對機會與挑戰兩個面向進行探討。</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lang w:val="x-none"/>
        </w:rPr>
        <w:t>一</w:t>
      </w:r>
      <w:r w:rsidRPr="00D15001">
        <w:rPr>
          <w:rFonts w:eastAsia="標楷體"/>
          <w:b/>
          <w:bCs/>
          <w:sz w:val="36"/>
          <w:szCs w:val="36"/>
          <w:lang w:val="x-none" w:eastAsia="x-none"/>
        </w:rPr>
        <w:t>、</w:t>
      </w:r>
      <w:r w:rsidRPr="00D15001">
        <w:rPr>
          <w:rFonts w:eastAsia="標楷體" w:hint="eastAsia"/>
          <w:b/>
          <w:bCs/>
          <w:sz w:val="36"/>
          <w:szCs w:val="36"/>
          <w:lang w:val="x-none"/>
        </w:rPr>
        <w:t>中國大陸臺商</w:t>
      </w:r>
    </w:p>
    <w:p w:rsidR="004163FA" w:rsidRPr="00D15001" w:rsidRDefault="004163FA" w:rsidP="004163FA">
      <w:pPr>
        <w:tabs>
          <w:tab w:val="center" w:pos="4413"/>
        </w:tabs>
        <w:spacing w:beforeLines="30" w:before="108" w:afterLines="30" w:after="108" w:line="520" w:lineRule="exact"/>
        <w:ind w:firstLineChars="200" w:firstLine="520"/>
        <w:jc w:val="both"/>
        <w:rPr>
          <w:rFonts w:eastAsia="標楷體"/>
          <w:sz w:val="26"/>
        </w:rPr>
      </w:pPr>
      <w:r w:rsidRPr="00D15001">
        <w:rPr>
          <w:rFonts w:eastAsia="標楷體" w:hint="eastAsia"/>
          <w:sz w:val="26"/>
        </w:rPr>
        <w:t>近年來中國大陸自動化趨勢之所以蓬勃發展，主要原因是由於勞動成本不斷攀升、勞動力短缺問題嚴重，過去低端製造業賴以維生的勞動力優勢不復存在，使得企業必須尋求轉型升級之路，或者轉移到其他更低成本的生產基地。這對臺商而言既是機會也是挑戰。在機會方面，隨著中國大陸製造情勢變化，臺商開始面對生產模式必須轉變的問題，這有助於臺商透過自動化往高端製造發展。此外，許多臺商看準中國大陸龐大的自動化市場，會在自行應用後轉為兼具供給者角色，提供系統整合服務或者販售自主改良設備，開拓另一個商機。因此對臺商而言是一種機會，既促進自身轉型升級，也拓展新的業務。</w:t>
      </w:r>
    </w:p>
    <w:p w:rsidR="004163FA" w:rsidRPr="00D15001" w:rsidRDefault="004163FA" w:rsidP="004163FA">
      <w:pPr>
        <w:tabs>
          <w:tab w:val="center" w:pos="4413"/>
        </w:tabs>
        <w:spacing w:beforeLines="30" w:before="108" w:afterLines="30" w:after="108" w:line="520" w:lineRule="exact"/>
        <w:ind w:firstLineChars="200" w:firstLine="520"/>
        <w:jc w:val="both"/>
        <w:rPr>
          <w:rFonts w:eastAsia="標楷體"/>
          <w:sz w:val="26"/>
        </w:rPr>
      </w:pPr>
      <w:r w:rsidRPr="00D15001">
        <w:rPr>
          <w:rFonts w:eastAsia="標楷體" w:hint="eastAsia"/>
          <w:sz w:val="26"/>
        </w:rPr>
        <w:t>在挑戰方面，雖然在中國大陸經濟和社會因素發生變化，促使臺商必須改變既往的經營模式，但是產業自動化不是一件容易或是很直接的改變，這牽涉到製程設計、聘用員工類別、客戶關係、品質良窳等各個企業經營的重大面向，需要長時間的試驗和逐步改善，並且還要隨著全球發展趨勢不斷升級。此外，在自動化風氣盛行下，進行自動化改善製程儼然成為必要選擇，形成同業的競爭壓力。因此對臺商而言存在經營上的挑戰。</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lang w:val="x-none"/>
        </w:rPr>
        <w:t>二</w:t>
      </w:r>
      <w:r w:rsidRPr="00D15001">
        <w:rPr>
          <w:rFonts w:eastAsia="標楷體"/>
          <w:b/>
          <w:bCs/>
          <w:sz w:val="36"/>
          <w:szCs w:val="36"/>
          <w:lang w:val="x-none" w:eastAsia="x-none"/>
        </w:rPr>
        <w:t>、</w:t>
      </w:r>
      <w:r w:rsidRPr="00D15001">
        <w:rPr>
          <w:rFonts w:eastAsia="標楷體" w:hint="eastAsia"/>
          <w:b/>
          <w:bCs/>
          <w:sz w:val="36"/>
          <w:szCs w:val="36"/>
          <w:lang w:val="x-none"/>
        </w:rPr>
        <w:t>臺灣自動化產業</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臺灣自動化產業隨著政策推動已有數十年的發展，從民國</w:t>
      </w:r>
      <w:r w:rsidRPr="00D15001">
        <w:rPr>
          <w:rFonts w:eastAsia="標楷體"/>
          <w:sz w:val="26"/>
        </w:rPr>
        <w:t>71</w:t>
      </w:r>
      <w:r w:rsidRPr="00D15001">
        <w:rPr>
          <w:rFonts w:eastAsia="標楷體" w:hint="eastAsia"/>
          <w:sz w:val="26"/>
        </w:rPr>
        <w:t>年開始推動「工廠自動化計畫」，民國</w:t>
      </w:r>
      <w:r w:rsidRPr="00D15001">
        <w:rPr>
          <w:rFonts w:eastAsia="標楷體"/>
          <w:sz w:val="26"/>
        </w:rPr>
        <w:t>88</w:t>
      </w:r>
      <w:r w:rsidRPr="00D15001">
        <w:rPr>
          <w:rFonts w:eastAsia="標楷體" w:hint="eastAsia"/>
          <w:sz w:val="26"/>
        </w:rPr>
        <w:t>年擴大為「產業自動化及電子化推動方案」以降低製造成本與減少人力依賴為發展重點。民國</w:t>
      </w:r>
      <w:r w:rsidRPr="00D15001">
        <w:rPr>
          <w:rFonts w:eastAsia="標楷體"/>
          <w:sz w:val="26"/>
        </w:rPr>
        <w:t>100</w:t>
      </w:r>
      <w:r w:rsidRPr="00D15001">
        <w:rPr>
          <w:rFonts w:eastAsia="標楷體" w:hint="eastAsia"/>
          <w:sz w:val="26"/>
        </w:rPr>
        <w:t>年核定「智慧型自動化產業發展方案」，目的在於推動臺灣優質平價智慧自動化成為亞</w:t>
      </w:r>
      <w:r w:rsidRPr="00D15001">
        <w:rPr>
          <w:rFonts w:eastAsia="標楷體" w:hint="eastAsia"/>
          <w:sz w:val="26"/>
        </w:rPr>
        <w:lastRenderedPageBreak/>
        <w:t>太應用典範與服務重鎮。</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臺灣自動化產業發展歷程以工業機器人為例，在</w:t>
      </w:r>
      <w:r w:rsidRPr="00D15001">
        <w:rPr>
          <w:rFonts w:eastAsia="標楷體"/>
          <w:sz w:val="26"/>
        </w:rPr>
        <w:t>70</w:t>
      </w:r>
      <w:r w:rsidRPr="00D15001">
        <w:rPr>
          <w:rFonts w:eastAsia="標楷體" w:hint="eastAsia"/>
          <w:sz w:val="26"/>
        </w:rPr>
        <w:t>年代開始投入工業用機器人相關研發，當時關鍵零組件多為進口，使得整機設備成本高、競爭力不足，業者轉為代理銷售和系統整合。</w:t>
      </w:r>
      <w:r w:rsidRPr="00D15001">
        <w:rPr>
          <w:rFonts w:eastAsia="標楷體"/>
          <w:sz w:val="26"/>
        </w:rPr>
        <w:t>80</w:t>
      </w:r>
      <w:r w:rsidRPr="00D15001">
        <w:rPr>
          <w:rFonts w:eastAsia="標楷體" w:hint="eastAsia"/>
          <w:sz w:val="26"/>
        </w:rPr>
        <w:t>年代由於中國大陸土地、租稅和勞動成本低廉等誘因，吸引臺灣大量製造業外移，造成臺灣自動化產業進展緩慢，間接影響高階工業機器人技術發展。與此同時，日本和德國積極發展工業機器人產業，從關鍵零組件到高階機器人的相關技術都有著墨，因此臺灣自動化產業逐漸轉型以代理國外產品，並進行系統整合應用至各產業為主要發展模式。</w:t>
      </w:r>
      <w:r w:rsidRPr="00D15001">
        <w:rPr>
          <w:rFonts w:eastAsia="標楷體"/>
          <w:sz w:val="26"/>
        </w:rPr>
        <w:t>2009</w:t>
      </w:r>
      <w:r w:rsidRPr="00D15001">
        <w:rPr>
          <w:rFonts w:eastAsia="標楷體" w:hint="eastAsia"/>
          <w:sz w:val="26"/>
        </w:rPr>
        <w:t>年中國大陸製造情勢發生明顯的改變，不再以低勞動成本為優勢，臺灣重新關注工業機器人國產化問題，開始投入關鍵零組件和高階機器人相關技術研發。</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臺灣自動化產業目前結合金屬機械、資訊電子和化學工業等產業優勢，積極投入智慧製造領域，涵蓋資訊自動化和人機協同概念，並向德國工業</w:t>
      </w:r>
      <w:r w:rsidRPr="00D15001">
        <w:rPr>
          <w:rFonts w:eastAsia="標楷體"/>
          <w:sz w:val="26"/>
        </w:rPr>
        <w:t>4.0</w:t>
      </w:r>
      <w:r w:rsidRPr="00D15001">
        <w:rPr>
          <w:rFonts w:eastAsia="標楷體" w:hint="eastAsia"/>
          <w:sz w:val="26"/>
        </w:rPr>
        <w:t>延伸。在中國大陸自動化蓬勃發展下，對臺灣自動化產業而言究竟是機會還是挑戰，以下分別從產業鏈上、中、下游進行討論。</w:t>
      </w:r>
    </w:p>
    <w:p w:rsidR="004163FA" w:rsidRPr="00D15001" w:rsidRDefault="004163FA" w:rsidP="004163FA">
      <w:pPr>
        <w:keepNext/>
        <w:spacing w:beforeLines="20" w:before="72" w:afterLines="20" w:after="72"/>
        <w:jc w:val="both"/>
        <w:outlineLvl w:val="2"/>
        <w:rPr>
          <w:rFonts w:eastAsia="標楷體"/>
          <w:b/>
          <w:bCs/>
          <w:sz w:val="32"/>
          <w:szCs w:val="36"/>
        </w:rPr>
      </w:pPr>
      <w:r w:rsidRPr="00D15001">
        <w:rPr>
          <w:rFonts w:eastAsia="標楷體" w:hint="eastAsia"/>
          <w:b/>
          <w:bCs/>
          <w:sz w:val="32"/>
          <w:szCs w:val="36"/>
        </w:rPr>
        <w:t>（一）上游零組件</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隨著中國大陸政策大力支持和科研院所的研發能量，對臺灣上游零組件產業而言是挑戰大於機會。臺灣在關鍵零組件只有伺服電機較具有競爭力，相關業者有</w:t>
      </w:r>
      <w:r>
        <w:rPr>
          <w:rFonts w:eastAsia="標楷體" w:hint="eastAsia"/>
          <w:sz w:val="26"/>
        </w:rPr>
        <w:t>台達</w:t>
      </w:r>
      <w:r w:rsidRPr="00D15001">
        <w:rPr>
          <w:rFonts w:eastAsia="標楷體" w:hint="eastAsia"/>
          <w:sz w:val="26"/>
        </w:rPr>
        <w:t>電</w:t>
      </w:r>
      <w:r>
        <w:rPr>
          <w:rFonts w:eastAsia="標楷體" w:hint="eastAsia"/>
          <w:sz w:val="26"/>
        </w:rPr>
        <w:t>、鴻海等。部分控制器雖有自製能力，但相對較不成熟，相關業者有賜福</w:t>
      </w:r>
      <w:r w:rsidRPr="00D15001">
        <w:rPr>
          <w:rFonts w:eastAsia="標楷體" w:hint="eastAsia"/>
          <w:sz w:val="26"/>
        </w:rPr>
        <w:t>科技、</w:t>
      </w:r>
      <w:r>
        <w:rPr>
          <w:rFonts w:eastAsia="標楷體" w:hint="eastAsia"/>
          <w:sz w:val="26"/>
        </w:rPr>
        <w:t>台達</w:t>
      </w:r>
      <w:r w:rsidRPr="00D15001">
        <w:rPr>
          <w:rFonts w:eastAsia="標楷體" w:hint="eastAsia"/>
          <w:sz w:val="26"/>
        </w:rPr>
        <w:t>電、工研院、研華寶元等。而減速機則完全由日商把持，如</w:t>
      </w:r>
      <w:r w:rsidRPr="00D15001">
        <w:rPr>
          <w:rFonts w:eastAsia="標楷體"/>
          <w:sz w:val="26"/>
        </w:rPr>
        <w:t>Nabtesco</w:t>
      </w:r>
      <w:r w:rsidRPr="00D15001">
        <w:rPr>
          <w:rFonts w:eastAsia="標楷體" w:hint="eastAsia"/>
          <w:sz w:val="26"/>
        </w:rPr>
        <w:t>和</w:t>
      </w:r>
      <w:r w:rsidRPr="00D15001">
        <w:rPr>
          <w:rFonts w:eastAsia="標楷體"/>
          <w:sz w:val="26"/>
        </w:rPr>
        <w:t>Harmonic</w:t>
      </w:r>
      <w:r w:rsidRPr="00D15001">
        <w:rPr>
          <w:rFonts w:eastAsia="標楷體" w:hint="eastAsia"/>
          <w:sz w:val="26"/>
        </w:rPr>
        <w:t>。整體而言，臺灣在上游零組件產業發展相對落後，基礎技術能量不足，自製零組件還停留在低階產品，應用也尚不成熟。</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中國大陸深知產業自動化的發展需要有強而有力的零組件自製能力基礎，身為後進國家在相關技術相對落後，因此政策在上游零組件產業著</w:t>
      </w:r>
      <w:r w:rsidRPr="00D15001">
        <w:rPr>
          <w:rFonts w:eastAsia="標楷體" w:hint="eastAsia"/>
          <w:sz w:val="26"/>
        </w:rPr>
        <w:lastRenderedPageBreak/>
        <w:t>墨甚深，無論是從中央或是地方政策都非常積極投入研發，培養技術能量。中國大陸科研院所在政府長期的支持下，累積相當豐厚的技術能量，過去由於缺乏應用領域而發展上受到限制，現今隨著自動化市場升溫而帶動上游國產零組件的應用，並有望進一步技術突破。如瀋陽自動化研究所和哈爾濱工業大學，在控制器技術已經領先臺灣。減速機則在努力投入自主研發，尚未取得關鍵地位。這對臺灣零組件產業而言是相當大的挑戰，臺灣在零組件技術研發不像中國大陸有大力道的政策支持，在發展速度上相對緩慢。</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值得注意的是，中國大陸對伺服電機的策略為海外併購方式取</w:t>
      </w:r>
      <w:r>
        <w:rPr>
          <w:rFonts w:eastAsia="標楷體" w:hint="eastAsia"/>
          <w:sz w:val="26"/>
        </w:rPr>
        <w:t>得關鍵技術，臺灣在伺服電機上具有相對競爭力，在中國大陸市場上也</w:t>
      </w:r>
      <w:r w:rsidRPr="00D15001">
        <w:rPr>
          <w:rFonts w:eastAsia="標楷體" w:hint="eastAsia"/>
          <w:sz w:val="26"/>
        </w:rPr>
        <w:t>小有市占率，因此很有可能成為中國大陸的併購對象。若被併購對臺灣零組件產業的威脅更大，未來還得持續關注中國大陸動態。</w:t>
      </w:r>
    </w:p>
    <w:p w:rsidR="004163FA" w:rsidRPr="00D15001" w:rsidRDefault="004163FA" w:rsidP="004163FA">
      <w:pPr>
        <w:keepNext/>
        <w:spacing w:beforeLines="20" w:before="72" w:afterLines="20" w:after="72"/>
        <w:jc w:val="both"/>
        <w:outlineLvl w:val="2"/>
        <w:rPr>
          <w:rFonts w:eastAsia="標楷體"/>
          <w:b/>
          <w:bCs/>
          <w:sz w:val="32"/>
          <w:szCs w:val="36"/>
        </w:rPr>
      </w:pPr>
      <w:r w:rsidRPr="00D15001">
        <w:rPr>
          <w:rFonts w:eastAsia="標楷體" w:hint="eastAsia"/>
          <w:b/>
          <w:bCs/>
          <w:sz w:val="32"/>
          <w:szCs w:val="36"/>
        </w:rPr>
        <w:t>（二）中游設備製造</w:t>
      </w:r>
    </w:p>
    <w:p w:rsidR="004163FA" w:rsidRPr="00271D5D" w:rsidRDefault="004163FA" w:rsidP="00271D5D">
      <w:pPr>
        <w:spacing w:beforeLines="30" w:before="108" w:afterLines="30" w:after="108" w:line="520" w:lineRule="exact"/>
        <w:ind w:firstLineChars="200" w:firstLine="520"/>
        <w:jc w:val="both"/>
        <w:rPr>
          <w:rFonts w:eastAsia="標楷體"/>
          <w:sz w:val="26"/>
          <w:shd w:val="pct15" w:color="auto" w:fill="FFFFFF"/>
        </w:rPr>
      </w:pPr>
      <w:r w:rsidRPr="00D15001">
        <w:rPr>
          <w:rFonts w:eastAsia="標楷體" w:hint="eastAsia"/>
          <w:sz w:val="26"/>
        </w:rPr>
        <w:t>隨著中國大陸產業自動化潮流興起，對臺灣中游設備製造產業而言是機會大於挑戰。以自動化核心設備的工業機器人為例，從</w:t>
      </w:r>
      <w:r w:rsidRPr="00D15001">
        <w:rPr>
          <w:rFonts w:eastAsia="標楷體"/>
          <w:sz w:val="26"/>
        </w:rPr>
        <w:t>2003</w:t>
      </w:r>
      <w:r w:rsidRPr="00D15001">
        <w:rPr>
          <w:rFonts w:eastAsia="標楷體" w:hint="eastAsia"/>
          <w:sz w:val="26"/>
        </w:rPr>
        <w:t>年迄今，中國大陸已連續多年為臺灣工業機器人第一大出口國，</w:t>
      </w:r>
      <w:r w:rsidRPr="00D15001">
        <w:rPr>
          <w:rFonts w:eastAsia="標楷體"/>
          <w:sz w:val="26"/>
        </w:rPr>
        <w:t>2013</w:t>
      </w:r>
      <w:r w:rsidRPr="00D15001">
        <w:rPr>
          <w:rFonts w:eastAsia="標楷體" w:hint="eastAsia"/>
          <w:sz w:val="26"/>
        </w:rPr>
        <w:t>年全年對中國大陸工業機器人出口金額為</w:t>
      </w:r>
      <w:r>
        <w:rPr>
          <w:rFonts w:eastAsia="標楷體"/>
          <w:sz w:val="26"/>
        </w:rPr>
        <w:t>3</w:t>
      </w:r>
      <w:r>
        <w:rPr>
          <w:rFonts w:eastAsia="標楷體" w:hint="eastAsia"/>
          <w:sz w:val="26"/>
        </w:rPr>
        <w:t>,</w:t>
      </w:r>
      <w:r>
        <w:rPr>
          <w:rFonts w:eastAsia="標楷體"/>
          <w:sz w:val="26"/>
        </w:rPr>
        <w:t>632</w:t>
      </w:r>
      <w:r>
        <w:rPr>
          <w:rFonts w:eastAsia="標楷體" w:hint="eastAsia"/>
          <w:sz w:val="26"/>
        </w:rPr>
        <w:t>萬</w:t>
      </w:r>
      <w:r w:rsidRPr="00D15001">
        <w:rPr>
          <w:rFonts w:eastAsia="標楷體" w:hint="eastAsia"/>
          <w:sz w:val="26"/>
        </w:rPr>
        <w:t>美元，較上年成長</w:t>
      </w:r>
      <w:r w:rsidRPr="00D15001">
        <w:rPr>
          <w:rFonts w:eastAsia="標楷體"/>
          <w:sz w:val="26"/>
        </w:rPr>
        <w:t>26.4%</w:t>
      </w:r>
      <w:r w:rsidRPr="00D15001">
        <w:rPr>
          <w:rFonts w:eastAsia="標楷體" w:hint="eastAsia"/>
          <w:sz w:val="26"/>
        </w:rPr>
        <w:t>，占全部出口比重</w:t>
      </w:r>
      <w:r w:rsidRPr="00D15001">
        <w:rPr>
          <w:rFonts w:eastAsia="標楷體"/>
          <w:sz w:val="26"/>
        </w:rPr>
        <w:t>40.8%</w:t>
      </w:r>
      <w:r w:rsidRPr="00D15001">
        <w:rPr>
          <w:rFonts w:eastAsia="標楷體" w:hint="eastAsia"/>
          <w:sz w:val="26"/>
        </w:rPr>
        <w:t>；出口數量為</w:t>
      </w:r>
      <w:r w:rsidRPr="00D15001">
        <w:rPr>
          <w:rFonts w:eastAsia="標楷體"/>
          <w:sz w:val="26"/>
        </w:rPr>
        <w:t>3,929</w:t>
      </w:r>
      <w:r w:rsidRPr="00D15001">
        <w:rPr>
          <w:rFonts w:eastAsia="標楷體" w:hint="eastAsia"/>
          <w:sz w:val="26"/>
        </w:rPr>
        <w:t>臺，較上年成長</w:t>
      </w:r>
      <w:r w:rsidRPr="00D15001">
        <w:rPr>
          <w:rFonts w:eastAsia="標楷體"/>
          <w:sz w:val="26"/>
        </w:rPr>
        <w:t>13%</w:t>
      </w:r>
      <w:r w:rsidRPr="00D15001">
        <w:rPr>
          <w:rFonts w:eastAsia="標楷體" w:hint="eastAsia"/>
          <w:sz w:val="26"/>
        </w:rPr>
        <w:t>；平均單價為</w:t>
      </w:r>
      <w:r w:rsidRPr="00D15001">
        <w:rPr>
          <w:rFonts w:eastAsia="標楷體"/>
          <w:sz w:val="26"/>
        </w:rPr>
        <w:t>9,245</w:t>
      </w:r>
      <w:r w:rsidRPr="00D15001">
        <w:rPr>
          <w:rFonts w:eastAsia="標楷體" w:hint="eastAsia"/>
          <w:sz w:val="26"/>
        </w:rPr>
        <w:t>美元。</w:t>
      </w:r>
      <w:r w:rsidRPr="00D15001">
        <w:rPr>
          <w:rFonts w:eastAsia="標楷體"/>
          <w:sz w:val="26"/>
        </w:rPr>
        <w:t>2014</w:t>
      </w:r>
      <w:r w:rsidRPr="00D15001">
        <w:rPr>
          <w:rFonts w:eastAsia="標楷體" w:hint="eastAsia"/>
          <w:sz w:val="26"/>
        </w:rPr>
        <w:t>年</w:t>
      </w:r>
      <w:r w:rsidRPr="00D15001">
        <w:rPr>
          <w:rFonts w:eastAsia="標楷體"/>
          <w:sz w:val="26"/>
        </w:rPr>
        <w:t>1-8</w:t>
      </w:r>
      <w:r w:rsidRPr="00D15001">
        <w:rPr>
          <w:rFonts w:eastAsia="標楷體" w:hint="eastAsia"/>
          <w:sz w:val="26"/>
        </w:rPr>
        <w:t>月出口至中國大陸金額為</w:t>
      </w:r>
      <w:r w:rsidR="00271D5D" w:rsidRPr="00271D5D">
        <w:rPr>
          <w:rFonts w:eastAsia="標楷體"/>
          <w:sz w:val="26"/>
        </w:rPr>
        <w:t>2</w:t>
      </w:r>
      <w:r w:rsidR="00271D5D">
        <w:rPr>
          <w:rFonts w:eastAsia="標楷體" w:hint="eastAsia"/>
          <w:sz w:val="26"/>
        </w:rPr>
        <w:t>,</w:t>
      </w:r>
      <w:r w:rsidR="00271D5D" w:rsidRPr="00271D5D">
        <w:rPr>
          <w:rFonts w:eastAsia="標楷體"/>
          <w:sz w:val="26"/>
        </w:rPr>
        <w:t>634</w:t>
      </w:r>
      <w:r w:rsidR="00271D5D" w:rsidRPr="00271D5D">
        <w:rPr>
          <w:rFonts w:eastAsia="標楷體" w:hint="eastAsia"/>
          <w:sz w:val="26"/>
        </w:rPr>
        <w:t>.</w:t>
      </w:r>
      <w:r w:rsidR="00271D5D" w:rsidRPr="00271D5D">
        <w:rPr>
          <w:rFonts w:eastAsia="標楷體"/>
          <w:sz w:val="26"/>
        </w:rPr>
        <w:t>9</w:t>
      </w:r>
      <w:r w:rsidR="00271D5D" w:rsidRPr="00271D5D">
        <w:rPr>
          <w:rFonts w:eastAsia="標楷體" w:hint="eastAsia"/>
          <w:sz w:val="26"/>
        </w:rPr>
        <w:t>萬</w:t>
      </w:r>
      <w:r w:rsidRPr="00D15001">
        <w:rPr>
          <w:rFonts w:eastAsia="標楷體" w:hint="eastAsia"/>
          <w:sz w:val="26"/>
        </w:rPr>
        <w:t>美元，出口數量為</w:t>
      </w:r>
      <w:r w:rsidRPr="00D15001">
        <w:rPr>
          <w:rFonts w:eastAsia="標楷體"/>
          <w:sz w:val="26"/>
        </w:rPr>
        <w:t>2,696</w:t>
      </w:r>
      <w:r w:rsidRPr="00D15001">
        <w:rPr>
          <w:rFonts w:eastAsia="標楷體" w:hint="eastAsia"/>
          <w:sz w:val="26"/>
        </w:rPr>
        <w:t>臺，平均單價為</w:t>
      </w:r>
      <w:r w:rsidRPr="00D15001">
        <w:rPr>
          <w:rFonts w:eastAsia="標楷體"/>
          <w:sz w:val="26"/>
        </w:rPr>
        <w:t>9,774</w:t>
      </w:r>
      <w:r w:rsidRPr="00D15001">
        <w:rPr>
          <w:rFonts w:eastAsia="標楷體" w:hint="eastAsia"/>
          <w:sz w:val="26"/>
        </w:rPr>
        <w:t>美元。在中國大陸產業自動化需求不斷攀升，對設備需求量也會持續提高，因此對臺灣設備產業而言有發展的利基。</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臺灣工業機器人在單軸和直角坐標等低階機器人發展較成熟，具有一定競爭力，而四軸以上中高階機器人則以進口為主，近兩年臺灣業者已開始嘗試推出國產高階機器人。臺灣六軸垂直多關節機器人已有工研院、上銀、鴻海和</w:t>
      </w:r>
      <w:r>
        <w:rPr>
          <w:rFonts w:eastAsia="標楷體" w:hint="eastAsia"/>
          <w:sz w:val="26"/>
        </w:rPr>
        <w:t>台達</w:t>
      </w:r>
      <w:r w:rsidRPr="00D15001">
        <w:rPr>
          <w:rFonts w:eastAsia="標楷體" w:hint="eastAsia"/>
          <w:sz w:val="26"/>
        </w:rPr>
        <w:t>電投入生產研發，上銀已發展出自有品牌，鴻海</w:t>
      </w:r>
      <w:r w:rsidRPr="00D15001">
        <w:rPr>
          <w:rFonts w:eastAsia="標楷體"/>
          <w:sz w:val="26"/>
        </w:rPr>
        <w:t>Foxbot</w:t>
      </w:r>
      <w:r w:rsidRPr="00D15001">
        <w:rPr>
          <w:rFonts w:eastAsia="標楷體" w:hint="eastAsia"/>
          <w:sz w:val="26"/>
        </w:rPr>
        <w:lastRenderedPageBreak/>
        <w:t>機器人應用於集團內生產線。</w:t>
      </w:r>
      <w:r w:rsidRPr="00D15001">
        <w:rPr>
          <w:rFonts w:eastAsia="標楷體"/>
          <w:sz w:val="26"/>
        </w:rPr>
        <w:t>Delta</w:t>
      </w:r>
      <w:r w:rsidRPr="00D15001">
        <w:rPr>
          <w:rFonts w:eastAsia="標楷體" w:hint="eastAsia"/>
          <w:sz w:val="26"/>
        </w:rPr>
        <w:t>機器人有長毅工業、</w:t>
      </w:r>
      <w:r>
        <w:rPr>
          <w:rFonts w:eastAsia="標楷體" w:hint="eastAsia"/>
          <w:sz w:val="26"/>
        </w:rPr>
        <w:t>台達</w:t>
      </w:r>
      <w:r w:rsidRPr="00D15001">
        <w:rPr>
          <w:rFonts w:eastAsia="標楷體" w:hint="eastAsia"/>
          <w:sz w:val="26"/>
        </w:rPr>
        <w:t>電和上銀，</w:t>
      </w:r>
      <w:r w:rsidRPr="00D15001">
        <w:rPr>
          <w:rFonts w:eastAsia="標楷體"/>
          <w:sz w:val="26"/>
        </w:rPr>
        <w:t>SCARA</w:t>
      </w:r>
      <w:r w:rsidRPr="00D15001">
        <w:rPr>
          <w:rFonts w:eastAsia="標楷體" w:hint="eastAsia"/>
          <w:sz w:val="26"/>
        </w:rPr>
        <w:t>機器人則有</w:t>
      </w:r>
      <w:r>
        <w:rPr>
          <w:rFonts w:eastAsia="標楷體" w:hint="eastAsia"/>
          <w:sz w:val="26"/>
        </w:rPr>
        <w:t>台達</w:t>
      </w:r>
      <w:r w:rsidRPr="00D15001">
        <w:rPr>
          <w:rFonts w:eastAsia="標楷體" w:hint="eastAsia"/>
          <w:sz w:val="26"/>
        </w:rPr>
        <w:t>電、東佑達和上銀等公司。</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臺灣中高階機器人尚在初始發展階段，還需經過長時的廣泛應用來</w:t>
      </w:r>
      <w:r>
        <w:rPr>
          <w:rFonts w:eastAsia="標楷體" w:hint="eastAsia"/>
          <w:sz w:val="26"/>
        </w:rPr>
        <w:t>提升</w:t>
      </w:r>
      <w:r w:rsidRPr="00D15001">
        <w:rPr>
          <w:rFonts w:eastAsia="標楷體" w:hint="eastAsia"/>
          <w:sz w:val="26"/>
        </w:rPr>
        <w:t>設備的可靠度，才有機會進一步大量生產並</w:t>
      </w:r>
      <w:r>
        <w:rPr>
          <w:rFonts w:eastAsia="標楷體" w:hint="eastAsia"/>
          <w:sz w:val="26"/>
        </w:rPr>
        <w:t>提高</w:t>
      </w:r>
      <w:r w:rsidRPr="00D15001">
        <w:rPr>
          <w:rFonts w:eastAsia="標楷體" w:hint="eastAsia"/>
          <w:sz w:val="26"/>
        </w:rPr>
        <w:t>商品化程度。然而臺灣工業機器人市場規模有限，製造應用領域也不若中國大陸門類多，因此以中國大陸做為臺灣的練功場所是相當重要的策略，既是扶持臺灣設備製造產業發展，也是跨入國際市場的第一步。</w:t>
      </w:r>
    </w:p>
    <w:p w:rsidR="004163FA" w:rsidRPr="00D15001" w:rsidRDefault="004163FA" w:rsidP="004163FA">
      <w:pPr>
        <w:keepNext/>
        <w:spacing w:beforeLines="20" w:before="72" w:afterLines="20" w:after="72"/>
        <w:jc w:val="both"/>
        <w:outlineLvl w:val="2"/>
        <w:rPr>
          <w:rFonts w:eastAsia="標楷體"/>
          <w:b/>
          <w:bCs/>
          <w:sz w:val="32"/>
          <w:szCs w:val="36"/>
        </w:rPr>
      </w:pPr>
      <w:r w:rsidRPr="00D15001">
        <w:rPr>
          <w:rFonts w:eastAsia="標楷體" w:hint="eastAsia"/>
          <w:b/>
          <w:bCs/>
          <w:sz w:val="32"/>
          <w:szCs w:val="36"/>
        </w:rPr>
        <w:t>（三）下游系統整合</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現階段中國大陸自動化趨勢風行，預測未來很一段時間最大的自動化市場也在中國大陸。與中游設備製造產業相同，若臺灣下游系統整合產業要持續發展，必須仰賴中國大陸市場的開拓，因此對臺灣系統整合產業而言是機會大於挑戰。臺灣下游系統整合業者的經營規模偏小型，僅業內前十大業者的員工數超過千人以上，導致業務範圍只侷限在特定產業、特定製程的應用與整合。中國大陸有相當大的製造應用場域，可提供臺灣系統整合產業發展的空間。</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臺灣系統整合產業在進入中國大陸市場有兩大利基，首先，由於系統整合有強烈的在地化特性，無論是國際設備製造業者或是系統整合業者在進入中國大陸市場都須與當地系統整合業者合作，而臺灣具有文化和語言優勢，較外商瞭解中國大陸產業和製程特性，加上臺灣系統整合的技術能量也高於中國大陸業者，因此臺灣系統整合業者可為外商合作對象的考量。其次，外商的客製化系統整合服務價格相對較高，臺灣由於過去自動化發展模式在下游應用累積許多經驗，系統整合業者一向專長客製化服務，對於國際設備製造業者而言有被利用價值，與臺灣系統整合業者合作有利於進入中國大陸中低價自動化市場。因此中國大陸產業自動化的需求，讓國際業者</w:t>
      </w:r>
      <w:r>
        <w:rPr>
          <w:rFonts w:eastAsia="標楷體" w:hint="eastAsia"/>
          <w:sz w:val="26"/>
        </w:rPr>
        <w:t>布</w:t>
      </w:r>
      <w:r w:rsidRPr="00D15001">
        <w:rPr>
          <w:rFonts w:eastAsia="標楷體" w:hint="eastAsia"/>
          <w:sz w:val="26"/>
        </w:rPr>
        <w:t>局商機的同時，對臺灣下游系統整合產業提供良好的發展機會。</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lastRenderedPageBreak/>
        <w:t>但隨著中國大陸自動化產業的逐漸發展也面臨一些挑戰，由於下游系統整合並非相當前瞻性的技術，應用技術才是重點。中國大陸系統整合業者透過與外商合作，學習相關應用技術相當快，因此臺灣系統整合業者雖然現階段還具相對競爭優勢，但以長遠來看仍存在挑戰，需要加緊因應。</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表</w:t>
      </w:r>
      <w:r w:rsidRPr="00D15001">
        <w:rPr>
          <w:rFonts w:eastAsia="標楷體" w:hint="eastAsia"/>
          <w:sz w:val="26"/>
          <w:lang w:val="x-none"/>
        </w:rPr>
        <w:t>5-3</w:t>
      </w:r>
      <w:r w:rsidRPr="00D15001">
        <w:rPr>
          <w:rFonts w:eastAsia="標楷體" w:hint="eastAsia"/>
          <w:sz w:val="26"/>
          <w:lang w:val="x-none"/>
        </w:rPr>
        <w:t>彙整中國大陸臺商、臺灣自動化產業上、中、下游和</w:t>
      </w:r>
      <w:r>
        <w:rPr>
          <w:rFonts w:eastAsia="標楷體" w:hint="eastAsia"/>
          <w:sz w:val="26"/>
          <w:lang w:val="x-none"/>
        </w:rPr>
        <w:t>臺灣製造業</w:t>
      </w:r>
      <w:r w:rsidRPr="00D15001">
        <w:rPr>
          <w:rFonts w:eastAsia="標楷體" w:hint="eastAsia"/>
          <w:sz w:val="26"/>
          <w:lang w:val="x-none"/>
        </w:rPr>
        <w:t>在中國大陸自動化趨勢下是機會還是挑戰。本研究認為對中國大陸臺商而言，既是機會也是挑戰；對臺灣自動化產業上游零組件而言，挑戰大於機會；對中游設備製造而言，機會大於挑戰；對下游系統整合而言，也是機會大於挑戰；但對</w:t>
      </w:r>
      <w:r>
        <w:rPr>
          <w:rFonts w:eastAsia="標楷體" w:hint="eastAsia"/>
          <w:sz w:val="26"/>
          <w:lang w:val="x-none"/>
        </w:rPr>
        <w:t>臺灣製造業</w:t>
      </w:r>
      <w:r w:rsidRPr="00D15001">
        <w:rPr>
          <w:rFonts w:eastAsia="標楷體" w:hint="eastAsia"/>
          <w:sz w:val="26"/>
          <w:lang w:val="x-none"/>
        </w:rPr>
        <w:t>而言，則是挑戰大於機會。</w:t>
      </w:r>
    </w:p>
    <w:p w:rsidR="004163FA" w:rsidRPr="00B014B3" w:rsidRDefault="004163FA" w:rsidP="00B014B3">
      <w:pPr>
        <w:pStyle w:val="a7"/>
      </w:pPr>
      <w:bookmarkStart w:id="73" w:name="_Toc405462614"/>
      <w:r w:rsidRPr="00D15001">
        <w:rPr>
          <w:rFonts w:hint="eastAsia"/>
        </w:rPr>
        <w:t>表</w:t>
      </w:r>
      <w:r w:rsidRPr="00D15001">
        <w:t>5-3</w:t>
      </w:r>
      <w:r w:rsidRPr="00D15001">
        <w:rPr>
          <w:rFonts w:hint="eastAsia"/>
        </w:rPr>
        <w:t xml:space="preserve">　</w:t>
      </w:r>
      <w:r>
        <w:rPr>
          <w:rFonts w:hint="eastAsia"/>
        </w:rPr>
        <w:t>中國大陸自動化趨勢對中國大陸臺商、臺灣自動化產業和製造業</w:t>
      </w:r>
      <w:r w:rsidRPr="00D15001">
        <w:rPr>
          <w:rFonts w:hint="eastAsia"/>
        </w:rPr>
        <w:t>之機會與挑戰</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393"/>
        <w:gridCol w:w="1394"/>
        <w:gridCol w:w="1394"/>
        <w:gridCol w:w="1394"/>
        <w:gridCol w:w="1394"/>
      </w:tblGrid>
      <w:tr w:rsidR="004163FA" w:rsidRPr="00D15001" w:rsidTr="00B014B3">
        <w:trPr>
          <w:jc w:val="center"/>
        </w:trPr>
        <w:tc>
          <w:tcPr>
            <w:tcW w:w="1393" w:type="dxa"/>
            <w:vMerge w:val="restart"/>
            <w:tcBorders>
              <w:tl2br w:val="single" w:sz="4" w:space="0" w:color="auto"/>
            </w:tcBorders>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p>
        </w:tc>
        <w:tc>
          <w:tcPr>
            <w:tcW w:w="1393" w:type="dxa"/>
            <w:vMerge w:val="restart"/>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Calibri" w:eastAsia="標楷體" w:hAnsi="Calibri" w:hint="eastAsia"/>
                <w:b/>
                <w:sz w:val="26"/>
                <w:szCs w:val="26"/>
              </w:rPr>
              <w:t>中國大陸臺商</w:t>
            </w:r>
          </w:p>
        </w:tc>
        <w:tc>
          <w:tcPr>
            <w:tcW w:w="4182" w:type="dxa"/>
            <w:gridSpan w:val="3"/>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Calibri" w:eastAsia="標楷體" w:hAnsi="Calibri" w:hint="eastAsia"/>
                <w:b/>
                <w:sz w:val="26"/>
                <w:szCs w:val="26"/>
              </w:rPr>
              <w:t>臺灣自動化產業</w:t>
            </w:r>
          </w:p>
        </w:tc>
        <w:tc>
          <w:tcPr>
            <w:tcW w:w="1394" w:type="dxa"/>
            <w:vMerge w:val="restart"/>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Calibri" w:eastAsia="標楷體" w:hAnsi="Calibri" w:hint="eastAsia"/>
                <w:b/>
                <w:sz w:val="26"/>
                <w:szCs w:val="26"/>
              </w:rPr>
              <w:t>臺灣</w:t>
            </w:r>
            <w:r w:rsidRPr="00D15001">
              <w:rPr>
                <w:rFonts w:ascii="Calibri" w:eastAsia="標楷體" w:hAnsi="Calibri"/>
                <w:b/>
                <w:sz w:val="26"/>
                <w:szCs w:val="26"/>
              </w:rPr>
              <w:br/>
            </w:r>
            <w:r>
              <w:rPr>
                <w:rFonts w:ascii="Calibri" w:eastAsia="標楷體" w:hAnsi="Calibri" w:hint="eastAsia"/>
                <w:b/>
                <w:sz w:val="26"/>
                <w:szCs w:val="26"/>
              </w:rPr>
              <w:t>製造業</w:t>
            </w:r>
          </w:p>
        </w:tc>
      </w:tr>
      <w:tr w:rsidR="004163FA" w:rsidRPr="00D15001" w:rsidTr="00B014B3">
        <w:trPr>
          <w:jc w:val="center"/>
        </w:trPr>
        <w:tc>
          <w:tcPr>
            <w:tcW w:w="1393" w:type="dxa"/>
            <w:vMerge/>
            <w:tcBorders>
              <w:tl2br w:val="single" w:sz="4" w:space="0" w:color="auto"/>
            </w:tcBorders>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p>
        </w:tc>
        <w:tc>
          <w:tcPr>
            <w:tcW w:w="1393" w:type="dxa"/>
            <w:vMerge/>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Calibri" w:eastAsia="標楷體" w:hAnsi="Calibri" w:hint="eastAsia"/>
                <w:b/>
                <w:sz w:val="26"/>
                <w:szCs w:val="26"/>
              </w:rPr>
              <w:t>上游</w:t>
            </w:r>
            <w:r w:rsidRPr="00D15001">
              <w:rPr>
                <w:rFonts w:ascii="Calibri" w:eastAsia="標楷體" w:hAnsi="Calibri"/>
                <w:b/>
                <w:sz w:val="26"/>
                <w:szCs w:val="26"/>
              </w:rPr>
              <w:br/>
            </w:r>
            <w:r w:rsidRPr="00D15001">
              <w:rPr>
                <w:rFonts w:ascii="Calibri" w:eastAsia="標楷體" w:hAnsi="Calibri" w:hint="eastAsia"/>
                <w:b/>
                <w:sz w:val="26"/>
                <w:szCs w:val="26"/>
              </w:rPr>
              <w:t>零組件</w:t>
            </w: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Calibri" w:eastAsia="標楷體" w:hAnsi="Calibri" w:hint="eastAsia"/>
                <w:b/>
                <w:sz w:val="26"/>
                <w:szCs w:val="26"/>
              </w:rPr>
              <w:t>中游</w:t>
            </w:r>
            <w:r w:rsidRPr="00D15001">
              <w:rPr>
                <w:rFonts w:ascii="Calibri" w:eastAsia="標楷體" w:hAnsi="Calibri"/>
                <w:b/>
                <w:sz w:val="26"/>
                <w:szCs w:val="26"/>
              </w:rPr>
              <w:br/>
            </w:r>
            <w:r w:rsidRPr="00D15001">
              <w:rPr>
                <w:rFonts w:ascii="Calibri" w:eastAsia="標楷體" w:hAnsi="Calibri" w:hint="eastAsia"/>
                <w:b/>
                <w:sz w:val="26"/>
                <w:szCs w:val="26"/>
              </w:rPr>
              <w:t>設備製造</w:t>
            </w: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Calibri" w:eastAsia="標楷體" w:hAnsi="Calibri" w:hint="eastAsia"/>
                <w:b/>
                <w:sz w:val="26"/>
                <w:szCs w:val="26"/>
              </w:rPr>
              <w:t>下游</w:t>
            </w:r>
            <w:r w:rsidRPr="00D15001">
              <w:rPr>
                <w:rFonts w:ascii="Calibri" w:eastAsia="標楷體" w:hAnsi="Calibri"/>
                <w:b/>
                <w:sz w:val="26"/>
                <w:szCs w:val="26"/>
              </w:rPr>
              <w:br/>
            </w:r>
            <w:r w:rsidRPr="00D15001">
              <w:rPr>
                <w:rFonts w:ascii="Calibri" w:eastAsia="標楷體" w:hAnsi="Calibri" w:hint="eastAsia"/>
                <w:b/>
                <w:sz w:val="26"/>
                <w:szCs w:val="26"/>
              </w:rPr>
              <w:t>系統整合</w:t>
            </w:r>
          </w:p>
        </w:tc>
        <w:tc>
          <w:tcPr>
            <w:tcW w:w="1394" w:type="dxa"/>
            <w:vMerge/>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p>
        </w:tc>
      </w:tr>
      <w:tr w:rsidR="004163FA" w:rsidRPr="00D15001" w:rsidTr="00B014B3">
        <w:trPr>
          <w:jc w:val="center"/>
        </w:trPr>
        <w:tc>
          <w:tcPr>
            <w:tcW w:w="1393"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Calibri" w:eastAsia="標楷體" w:hAnsi="Calibri" w:hint="eastAsia"/>
                <w:b/>
                <w:sz w:val="26"/>
                <w:szCs w:val="26"/>
              </w:rPr>
              <w:t>機會</w:t>
            </w:r>
          </w:p>
        </w:tc>
        <w:tc>
          <w:tcPr>
            <w:tcW w:w="1393"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Wingdings" w:eastAsia="標楷體" w:hAnsi="Wingdings"/>
                <w:b/>
                <w:sz w:val="26"/>
                <w:szCs w:val="26"/>
              </w:rPr>
              <w:t></w:t>
            </w: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Wingdings" w:eastAsia="標楷體" w:hAnsi="Wingdings"/>
                <w:b/>
                <w:sz w:val="26"/>
                <w:szCs w:val="26"/>
              </w:rPr>
              <w:t></w:t>
            </w: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Wingdings" w:eastAsia="標楷體" w:hAnsi="Wingdings"/>
                <w:b/>
                <w:sz w:val="26"/>
                <w:szCs w:val="26"/>
              </w:rPr>
              <w:t></w:t>
            </w: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p>
        </w:tc>
      </w:tr>
      <w:tr w:rsidR="004163FA" w:rsidRPr="00D15001" w:rsidTr="00B014B3">
        <w:trPr>
          <w:jc w:val="center"/>
        </w:trPr>
        <w:tc>
          <w:tcPr>
            <w:tcW w:w="1393"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Calibri" w:eastAsia="標楷體" w:hAnsi="Calibri" w:hint="eastAsia"/>
                <w:b/>
                <w:sz w:val="26"/>
                <w:szCs w:val="26"/>
              </w:rPr>
              <w:t>挑戰</w:t>
            </w:r>
          </w:p>
        </w:tc>
        <w:tc>
          <w:tcPr>
            <w:tcW w:w="1393"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Wingdings" w:eastAsia="標楷體" w:hAnsi="Wingdings"/>
                <w:b/>
                <w:sz w:val="26"/>
                <w:szCs w:val="26"/>
              </w:rPr>
              <w:t></w:t>
            </w: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Wingdings" w:eastAsia="標楷體" w:hAnsi="Wingdings"/>
                <w:b/>
                <w:sz w:val="26"/>
                <w:szCs w:val="26"/>
              </w:rPr>
              <w:t></w:t>
            </w: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p>
        </w:tc>
        <w:tc>
          <w:tcPr>
            <w:tcW w:w="1394" w:type="dxa"/>
            <w:shd w:val="clear" w:color="auto" w:fill="auto"/>
            <w:vAlign w:val="center"/>
          </w:tcPr>
          <w:p w:rsidR="004163FA" w:rsidRPr="00D15001" w:rsidRDefault="004163FA" w:rsidP="00B014B3">
            <w:pPr>
              <w:spacing w:before="20" w:after="20"/>
              <w:jc w:val="center"/>
              <w:rPr>
                <w:rFonts w:ascii="Calibri" w:eastAsia="標楷體" w:hAnsi="Calibri"/>
                <w:b/>
                <w:sz w:val="26"/>
                <w:szCs w:val="26"/>
              </w:rPr>
            </w:pPr>
            <w:r w:rsidRPr="00D15001">
              <w:rPr>
                <w:rFonts w:ascii="Wingdings" w:eastAsia="標楷體" w:hAnsi="Wingdings"/>
                <w:b/>
                <w:sz w:val="26"/>
                <w:szCs w:val="26"/>
              </w:rPr>
              <w:t></w:t>
            </w:r>
          </w:p>
        </w:tc>
      </w:tr>
    </w:tbl>
    <w:p w:rsidR="004163FA" w:rsidRDefault="007857E4" w:rsidP="00A058C8">
      <w:pPr>
        <w:spacing w:afterLines="100" w:after="360" w:line="520" w:lineRule="exact"/>
        <w:ind w:leftChars="-5" w:left="2" w:hangingChars="7" w:hanging="14"/>
        <w:jc w:val="both"/>
        <w:rPr>
          <w:rFonts w:eastAsia="標楷體"/>
          <w:sz w:val="20"/>
        </w:rPr>
      </w:pPr>
      <w:r w:rsidRPr="00D15001">
        <w:rPr>
          <w:rFonts w:eastAsia="標楷體" w:hint="eastAsia"/>
          <w:sz w:val="20"/>
        </w:rPr>
        <w:t>資料來源：本研究</w:t>
      </w:r>
      <w:r>
        <w:rPr>
          <w:rFonts w:eastAsia="標楷體" w:hint="eastAsia"/>
          <w:sz w:val="20"/>
        </w:rPr>
        <w:t>整理彙整</w:t>
      </w:r>
      <w:r w:rsidRPr="00D15001">
        <w:rPr>
          <w:rFonts w:eastAsia="標楷體" w:hint="eastAsia"/>
          <w:sz w:val="20"/>
        </w:rPr>
        <w:t>。</w:t>
      </w:r>
    </w:p>
    <w:p w:rsidR="004163FA" w:rsidRPr="00D15001" w:rsidRDefault="004163FA" w:rsidP="004163FA">
      <w:pPr>
        <w:keepNext/>
        <w:spacing w:beforeLines="20" w:before="72" w:afterLines="20" w:after="72"/>
        <w:jc w:val="both"/>
        <w:outlineLvl w:val="2"/>
        <w:rPr>
          <w:rFonts w:eastAsia="標楷體"/>
          <w:b/>
          <w:bCs/>
          <w:sz w:val="36"/>
          <w:szCs w:val="36"/>
        </w:rPr>
      </w:pPr>
      <w:r w:rsidRPr="00D15001">
        <w:rPr>
          <w:rFonts w:eastAsia="標楷體" w:hint="eastAsia"/>
          <w:b/>
          <w:bCs/>
          <w:sz w:val="36"/>
          <w:szCs w:val="36"/>
          <w:lang w:val="x-none"/>
        </w:rPr>
        <w:t>三</w:t>
      </w:r>
      <w:r w:rsidRPr="00D15001">
        <w:rPr>
          <w:rFonts w:eastAsia="標楷體"/>
          <w:b/>
          <w:bCs/>
          <w:sz w:val="36"/>
          <w:szCs w:val="36"/>
          <w:lang w:val="x-none" w:eastAsia="x-none"/>
        </w:rPr>
        <w:t>、</w:t>
      </w:r>
      <w:r>
        <w:rPr>
          <w:rFonts w:eastAsia="標楷體" w:hint="eastAsia"/>
          <w:b/>
          <w:bCs/>
          <w:sz w:val="36"/>
          <w:szCs w:val="36"/>
          <w:lang w:val="x-none"/>
        </w:rPr>
        <w:t>臺灣製造業</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在中國大陸產業自動化進程不斷的推進下，對</w:t>
      </w:r>
      <w:r>
        <w:rPr>
          <w:rFonts w:eastAsia="標楷體" w:hint="eastAsia"/>
          <w:sz w:val="26"/>
          <w:lang w:val="x-none"/>
        </w:rPr>
        <w:t>臺灣製造業</w:t>
      </w:r>
      <w:r w:rsidRPr="00D15001">
        <w:rPr>
          <w:rFonts w:eastAsia="標楷體" w:hint="eastAsia"/>
          <w:sz w:val="26"/>
          <w:lang w:val="x-none"/>
        </w:rPr>
        <w:t>而言是挑戰大於機會。從全球製造業發展進程來看，自動化程度越高代表製造技術越先進，也就是該國生產力越高，進而做為經濟成長的動能。在中國大陸從低端製造業走向自動化發展，製造能力</w:t>
      </w:r>
      <w:r>
        <w:rPr>
          <w:rFonts w:eastAsia="標楷體" w:hint="eastAsia"/>
          <w:sz w:val="26"/>
          <w:lang w:val="x-none"/>
        </w:rPr>
        <w:t>提升</w:t>
      </w:r>
      <w:r w:rsidRPr="00D15001">
        <w:rPr>
          <w:rFonts w:eastAsia="標楷體" w:hint="eastAsia"/>
          <w:sz w:val="26"/>
          <w:lang w:val="x-none"/>
        </w:rPr>
        <w:t>的同時，對兩岸既有的分工格局必然造成改變，臺灣製造優勢會逐漸縮小或被超越。</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臺灣產業自動化大致經歷過三個重要階段，首先是將重要生產節點進行傳統的機械自動化，以減少人力目標；第二階段是整線或整廠自動化，</w:t>
      </w:r>
      <w:r w:rsidRPr="00D15001">
        <w:rPr>
          <w:rFonts w:eastAsia="標楷體" w:hint="eastAsia"/>
          <w:sz w:val="26"/>
          <w:lang w:val="x-none"/>
        </w:rPr>
        <w:lastRenderedPageBreak/>
        <w:t>但仍侷限在製造活動；第三階段為導入資訊化系統，如客戶關係管理（</w:t>
      </w:r>
      <w:r w:rsidRPr="00D15001">
        <w:rPr>
          <w:rFonts w:eastAsia="標楷體" w:hint="eastAsia"/>
          <w:sz w:val="26"/>
          <w:lang w:val="x-none"/>
        </w:rPr>
        <w:t>CRM</w:t>
      </w:r>
      <w:r w:rsidRPr="00D15001">
        <w:rPr>
          <w:rFonts w:eastAsia="標楷體" w:hint="eastAsia"/>
          <w:sz w:val="26"/>
          <w:lang w:val="x-none"/>
        </w:rPr>
        <w:t>）、供應鏈管理（</w:t>
      </w:r>
      <w:r w:rsidRPr="00D15001">
        <w:rPr>
          <w:rFonts w:eastAsia="標楷體" w:hint="eastAsia"/>
          <w:sz w:val="26"/>
          <w:lang w:val="x-none"/>
        </w:rPr>
        <w:t>SCM</w:t>
      </w:r>
      <w:r w:rsidRPr="00D15001">
        <w:rPr>
          <w:rFonts w:eastAsia="標楷體" w:hint="eastAsia"/>
          <w:sz w:val="26"/>
          <w:lang w:val="x-none"/>
        </w:rPr>
        <w:t>）等，讓生產過程融合資訊蒐集、處理和決策。目前資訊自動化為臺灣製造業發展方向，並向德國工業</w:t>
      </w:r>
      <w:r w:rsidRPr="00D15001">
        <w:rPr>
          <w:rFonts w:eastAsia="標楷體" w:hint="eastAsia"/>
          <w:sz w:val="26"/>
          <w:lang w:val="x-none"/>
        </w:rPr>
        <w:t>4.0</w:t>
      </w:r>
      <w:r w:rsidRPr="00D15001">
        <w:rPr>
          <w:rFonts w:eastAsia="標楷體" w:hint="eastAsia"/>
          <w:sz w:val="26"/>
          <w:lang w:val="x-none"/>
        </w:rPr>
        <w:t>邁進，從生產、物流到物聯網，最後延伸到服務端。雖然臺灣產業自動化發展時程要中國大陸來的早，但每個行業和製程的自動化程度有落差，未來在面對中國大陸產業自動化的快速發展，應需要各有不同的因應對策。</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然而對</w:t>
      </w:r>
      <w:r>
        <w:rPr>
          <w:rFonts w:eastAsia="標楷體" w:hint="eastAsia"/>
          <w:sz w:val="26"/>
          <w:lang w:val="x-none"/>
        </w:rPr>
        <w:t>臺灣製造業</w:t>
      </w:r>
      <w:r w:rsidRPr="00D15001">
        <w:rPr>
          <w:rFonts w:eastAsia="標楷體" w:hint="eastAsia"/>
          <w:sz w:val="26"/>
          <w:lang w:val="x-none"/>
        </w:rPr>
        <w:t>而言也有一些機會，隨著兩岸製造分工格局的改變，中國大陸對製造業臺商而言失去原有低廉勞動力成本之吸引力，除了大陸市場考量外，可能將面向其他市場之產線移回臺灣。因此在中國大陸自動化需求</w:t>
      </w:r>
      <w:r>
        <w:rPr>
          <w:rFonts w:eastAsia="標楷體" w:hint="eastAsia"/>
          <w:sz w:val="26"/>
          <w:lang w:val="x-none"/>
        </w:rPr>
        <w:t>提升</w:t>
      </w:r>
      <w:r w:rsidRPr="00D15001">
        <w:rPr>
          <w:rFonts w:eastAsia="標楷體" w:hint="eastAsia"/>
          <w:sz w:val="26"/>
          <w:lang w:val="x-none"/>
        </w:rPr>
        <w:t>的背景因素影響下，對</w:t>
      </w:r>
      <w:r>
        <w:rPr>
          <w:rFonts w:eastAsia="標楷體" w:hint="eastAsia"/>
          <w:sz w:val="26"/>
          <w:lang w:val="x-none"/>
        </w:rPr>
        <w:t>臺灣製造業</w:t>
      </w:r>
      <w:r w:rsidRPr="00D15001">
        <w:rPr>
          <w:rFonts w:eastAsia="標楷體" w:hint="eastAsia"/>
          <w:sz w:val="26"/>
          <w:lang w:val="x-none"/>
        </w:rPr>
        <w:t>而言有製造業回流的契機。但以整體而言，對</w:t>
      </w:r>
      <w:r>
        <w:rPr>
          <w:rFonts w:eastAsia="標楷體" w:hint="eastAsia"/>
          <w:sz w:val="26"/>
          <w:lang w:val="x-none"/>
        </w:rPr>
        <w:t>臺灣製造業</w:t>
      </w:r>
      <w:r w:rsidRPr="00D15001">
        <w:rPr>
          <w:rFonts w:eastAsia="標楷體" w:hint="eastAsia"/>
          <w:sz w:val="26"/>
          <w:lang w:val="x-none"/>
        </w:rPr>
        <w:t>還是挑戰大於機會，臺灣產業必須加快</w:t>
      </w:r>
      <w:r>
        <w:rPr>
          <w:rFonts w:eastAsia="標楷體" w:hint="eastAsia"/>
          <w:sz w:val="26"/>
          <w:lang w:val="x-none"/>
        </w:rPr>
        <w:t>提升</w:t>
      </w:r>
      <w:r w:rsidRPr="00D15001">
        <w:rPr>
          <w:rFonts w:eastAsia="標楷體" w:hint="eastAsia"/>
          <w:sz w:val="26"/>
          <w:lang w:val="x-none"/>
        </w:rPr>
        <w:t>自動化層次，以維持製造優勢。</w:t>
      </w:r>
    </w:p>
    <w:p w:rsidR="004163FA" w:rsidRPr="00DA5B83" w:rsidRDefault="004163FA" w:rsidP="00DA5B83">
      <w:pPr>
        <w:pStyle w:val="3"/>
        <w:spacing w:before="72" w:after="72"/>
        <w:rPr>
          <w:rFonts w:ascii="Times New Roman" w:hAnsi="Times New Roman"/>
        </w:rPr>
      </w:pPr>
      <w:r w:rsidRPr="00D15001">
        <w:rPr>
          <w:rFonts w:ascii="Times New Roman" w:hAnsi="Times New Roman" w:hint="eastAsia"/>
        </w:rPr>
        <w:t>貳、政策建議</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rPr>
        <w:t>目前</w:t>
      </w:r>
      <w:r w:rsidRPr="00D15001">
        <w:rPr>
          <w:rFonts w:eastAsia="標楷體" w:hint="eastAsia"/>
          <w:sz w:val="26"/>
          <w:lang w:val="x-none"/>
        </w:rPr>
        <w:t>中國大陸無論是自動化產業還是產業自動化都發展得相當迅速，對臺灣而言形成相當大的壓力，既要加快本身自動化發展進程，也要尋求兩岸合作的機會，才能因應全球製造業情勢的變化。以下依據臺灣目前現況提出四點政策建議</w:t>
      </w:r>
      <w:r w:rsidRPr="00D15001">
        <w:rPr>
          <w:rFonts w:ascii="標楷體" w:eastAsia="標楷體" w:hAnsi="標楷體" w:hint="eastAsia"/>
          <w:sz w:val="26"/>
          <w:lang w:val="x-none"/>
        </w:rPr>
        <w:t>：</w:t>
      </w:r>
    </w:p>
    <w:p w:rsidR="004163FA" w:rsidRPr="00D15001" w:rsidRDefault="004163FA" w:rsidP="00483BD8">
      <w:pPr>
        <w:keepNext/>
        <w:snapToGrid w:val="0"/>
        <w:spacing w:beforeLines="20" w:before="72" w:afterLines="20" w:after="72"/>
        <w:ind w:left="721" w:hangingChars="200" w:hanging="721"/>
        <w:jc w:val="both"/>
        <w:outlineLvl w:val="2"/>
        <w:rPr>
          <w:rFonts w:eastAsia="標楷體"/>
          <w:b/>
          <w:bCs/>
          <w:sz w:val="36"/>
          <w:szCs w:val="36"/>
          <w:lang w:val="x-none"/>
        </w:rPr>
      </w:pPr>
      <w:r w:rsidRPr="00D15001">
        <w:rPr>
          <w:rFonts w:eastAsia="標楷體" w:hint="eastAsia"/>
          <w:b/>
          <w:bCs/>
          <w:sz w:val="36"/>
          <w:szCs w:val="36"/>
          <w:lang w:val="x-none"/>
        </w:rPr>
        <w:t>一</w:t>
      </w:r>
      <w:r w:rsidRPr="00D15001">
        <w:rPr>
          <w:rFonts w:eastAsia="標楷體"/>
          <w:b/>
          <w:bCs/>
          <w:sz w:val="36"/>
          <w:szCs w:val="36"/>
          <w:lang w:val="x-none"/>
        </w:rPr>
        <w:t>、</w:t>
      </w:r>
      <w:r w:rsidRPr="00483BD8">
        <w:rPr>
          <w:rFonts w:eastAsia="標楷體" w:hint="eastAsia"/>
          <w:b/>
          <w:bCs/>
          <w:sz w:val="36"/>
          <w:szCs w:val="36"/>
          <w:u w:val="single"/>
          <w:lang w:val="x-none"/>
        </w:rPr>
        <w:t>臺灣自動化中游設備製造產業走向製造服務化，推廣中國大陸市場應用</w:t>
      </w:r>
      <w:r w:rsidRPr="00D15001">
        <w:rPr>
          <w:rFonts w:eastAsia="標楷體" w:hint="eastAsia"/>
          <w:b/>
          <w:bCs/>
          <w:sz w:val="36"/>
          <w:szCs w:val="36"/>
          <w:lang w:val="x-none"/>
        </w:rPr>
        <w:t>。</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自動化設備市場非常重視應用實績，產品需經過長時間驗證，穩定性越高之產品越受市場青睞，因此後發品牌在市場進入難度較高。臺灣在中高階設備發展較晚，市場應用尚不成熟，為了與國際品牌競爭，必須有差異化發展策略。而製造服務化是一種可行性的發展方向，在銷售設備的同時提供系統整合服務，一來可提高需求者的使用意願，二來可協助供應者在技術上的精進。對需求者而言，目前在導入自動化要委託下游系統整</w:t>
      </w:r>
      <w:r w:rsidRPr="00D15001">
        <w:rPr>
          <w:rFonts w:eastAsia="標楷體" w:hint="eastAsia"/>
          <w:sz w:val="26"/>
        </w:rPr>
        <w:lastRenderedPageBreak/>
        <w:t>合業者進行生產製程重新規劃，需額外支付費用，若設備業者提供免費的系統整合服務，將提高採購意願。對供給者而言，由於後進品牌在應用經驗尚不足，設備穩定性難免還有需要改進之處，在販售設備同時提供系統整合服務，有助掌握生產線狀況，以利於後續進一步改善設備品質。</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臺灣自動化中游設備製造產業若要走向製造服務化，就必須要有市場應用空間，由於臺灣市場應用空間有限，應用領域侷限在特定某些行業，而中國大陸自動化市場需求迅速增加，擁有廣大的市場空間和行業類別眾多，提供臺灣很好的發展契機。臺灣藉由語言和地域便利、設備性價比高、客製化能力強等優勢，在</w:t>
      </w:r>
      <w:r>
        <w:rPr>
          <w:rFonts w:eastAsia="標楷體" w:hint="eastAsia"/>
          <w:sz w:val="26"/>
        </w:rPr>
        <w:t>布</w:t>
      </w:r>
      <w:r w:rsidRPr="00D15001">
        <w:rPr>
          <w:rFonts w:eastAsia="標楷體" w:hint="eastAsia"/>
          <w:sz w:val="26"/>
        </w:rPr>
        <w:t>局中國大陸市場是有利基的。</w:t>
      </w:r>
      <w:r>
        <w:rPr>
          <w:rFonts w:eastAsia="標楷體" w:hint="eastAsia"/>
          <w:sz w:val="26"/>
        </w:rPr>
        <w:t>因此可藉由兩岸交流平台、相關法人單位等做為媒介，協助臺灣自動化設備業者擴展中國大陸市場。其中可將臺商做為優先服務對象，一來協助臺商升級轉型，二來讓臺灣設備走出去，兩者相輔相成。</w:t>
      </w:r>
    </w:p>
    <w:p w:rsidR="004163FA" w:rsidRPr="00D15001" w:rsidRDefault="004163FA" w:rsidP="00483BD8">
      <w:pPr>
        <w:keepNext/>
        <w:snapToGrid w:val="0"/>
        <w:spacing w:beforeLines="20" w:before="72" w:afterLines="20" w:after="72"/>
        <w:ind w:left="721" w:hangingChars="200" w:hanging="721"/>
        <w:jc w:val="both"/>
        <w:outlineLvl w:val="2"/>
        <w:rPr>
          <w:rFonts w:eastAsia="標楷體"/>
          <w:b/>
          <w:bCs/>
          <w:sz w:val="36"/>
          <w:szCs w:val="36"/>
          <w:lang w:val="x-none"/>
        </w:rPr>
      </w:pPr>
      <w:r w:rsidRPr="00D15001">
        <w:rPr>
          <w:rFonts w:eastAsia="標楷體" w:hint="eastAsia"/>
          <w:b/>
          <w:bCs/>
          <w:sz w:val="36"/>
          <w:szCs w:val="36"/>
          <w:lang w:val="x-none"/>
        </w:rPr>
        <w:t>二</w:t>
      </w:r>
      <w:r w:rsidRPr="00D15001">
        <w:rPr>
          <w:rFonts w:eastAsia="標楷體"/>
          <w:b/>
          <w:bCs/>
          <w:sz w:val="36"/>
          <w:szCs w:val="36"/>
          <w:lang w:val="x-none"/>
        </w:rPr>
        <w:t>、</w:t>
      </w:r>
      <w:r w:rsidRPr="00483BD8">
        <w:rPr>
          <w:rFonts w:eastAsia="標楷體" w:hint="eastAsia"/>
          <w:b/>
          <w:bCs/>
          <w:sz w:val="36"/>
          <w:szCs w:val="36"/>
          <w:u w:val="single"/>
          <w:lang w:val="x-none"/>
        </w:rPr>
        <w:t>政府應扶持自動化下游系統整合（</w:t>
      </w:r>
      <w:r w:rsidRPr="00483BD8">
        <w:rPr>
          <w:rFonts w:eastAsia="標楷體" w:hint="eastAsia"/>
          <w:b/>
          <w:bCs/>
          <w:sz w:val="36"/>
          <w:szCs w:val="36"/>
          <w:u w:val="single"/>
          <w:lang w:val="x-none"/>
        </w:rPr>
        <w:t>SI</w:t>
      </w:r>
      <w:r w:rsidRPr="00483BD8">
        <w:rPr>
          <w:rFonts w:eastAsia="標楷體" w:hint="eastAsia"/>
          <w:b/>
          <w:bCs/>
          <w:sz w:val="36"/>
          <w:szCs w:val="36"/>
          <w:u w:val="single"/>
          <w:lang w:val="x-none"/>
        </w:rPr>
        <w:t>）產業，一方面替供給端開拓市場，另一方面擴大需求端應用場域</w:t>
      </w:r>
      <w:r w:rsidRPr="00D15001">
        <w:rPr>
          <w:rFonts w:eastAsia="標楷體" w:hint="eastAsia"/>
          <w:b/>
          <w:bCs/>
          <w:sz w:val="36"/>
          <w:szCs w:val="36"/>
          <w:lang w:val="x-none"/>
        </w:rPr>
        <w:t>。</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過去由於臺灣關鍵零組件多為進口，國產設備價格競爭力不足，導致自動化產業發展出以代理國外產品為主，對各製造領域提供系統整合服務的經營模式，因此臺灣在系統整合產業累積了一定的技術能量。但臺灣系統整合業者平均規模普遍偏小，較無法提供</w:t>
      </w:r>
      <w:r w:rsidRPr="00D15001">
        <w:rPr>
          <w:rFonts w:eastAsia="標楷體" w:hint="eastAsia"/>
          <w:sz w:val="26"/>
          <w:lang w:val="x-none"/>
        </w:rPr>
        <w:t>total solution</w:t>
      </w:r>
      <w:r w:rsidRPr="00D15001">
        <w:rPr>
          <w:rFonts w:eastAsia="標楷體" w:hint="eastAsia"/>
          <w:sz w:val="26"/>
          <w:lang w:val="x-none"/>
        </w:rPr>
        <w:t>服務，導致發展受到限制。以半導體業為例，主要製程自動化皆由外商提供，臺灣系統整合業者只能進行周邊自動化。因此臺灣系統整合產業非常需要靠政府扶持，並形成產業聯盟。這一方面對臺灣自動化產業而言，能從下而上支撐產業發展，臺灣目前中游設備製造產業在低階設備雖然已有競爭力，但在中高階設備仍處於初始發展階段，尚缺乏應用市場。目前設備市場以歐日業者佔有絕大份額，臺灣國產化設備要跨入市場必須靠下游系統整合業者推廣應用，因此扶持下游系統整合產業有助於</w:t>
      </w:r>
      <w:r>
        <w:rPr>
          <w:rFonts w:eastAsia="標楷體" w:hint="eastAsia"/>
          <w:sz w:val="26"/>
          <w:lang w:val="x-none"/>
        </w:rPr>
        <w:t>提升</w:t>
      </w:r>
      <w:r w:rsidRPr="00D15001">
        <w:rPr>
          <w:rFonts w:eastAsia="標楷體" w:hint="eastAsia"/>
          <w:sz w:val="26"/>
          <w:lang w:val="x-none"/>
        </w:rPr>
        <w:t>整體自動化產業。唯有臺灣</w:t>
      </w:r>
      <w:r w:rsidRPr="00D15001">
        <w:rPr>
          <w:rFonts w:eastAsia="標楷體" w:hint="eastAsia"/>
          <w:sz w:val="26"/>
          <w:lang w:val="x-none"/>
        </w:rPr>
        <w:lastRenderedPageBreak/>
        <w:t>擁有完整且強大的自動化產業，才能夠支持下一世代製造業的升級競爭。</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另一方面對臺灣產業自動化而言，能提供更廣泛的服務領域。目前臺灣產業自動化程度相異大，每個行業和製程由於有不同的行業特性，譬如標準化和非標準化產品、產品生命週期長短都是影響自動化程度高低的主要因素。這也影響自動化的需求不同，在自動化程度高的行業或製程需要朝更純熟的資訊自動化發展，走向智慧工廠模式，然而在歐美日新型的自動化趨勢，非常考驗系統整合的技術能力，因此扶持系統整合產業有其必要性。在自動化程度相對落後的行業或製程則更需要系統整合業者的協助，改善自動化製程。過去一些自動化發展程度不足的行業，很多是因為資訊不充足，對自動化瞭解程度甚低，導致在自動化浪潮下無所適從，因此系統整合產業扮演協助臺灣產業自動化發展的關鍵角色。</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然而系統整合</w:t>
      </w:r>
      <w:r w:rsidRPr="00D15001">
        <w:rPr>
          <w:rFonts w:eastAsia="標楷體" w:hint="eastAsia"/>
          <w:sz w:val="26"/>
        </w:rPr>
        <w:t>並非相當前瞻性的技術</w:t>
      </w:r>
      <w:r w:rsidRPr="00D15001">
        <w:rPr>
          <w:rFonts w:eastAsia="標楷體" w:hint="eastAsia"/>
          <w:sz w:val="26"/>
          <w:lang w:val="x-none"/>
        </w:rPr>
        <w:t>，中國大陸自動化產業有九成都集中在下游系統整合，近年來透過與外商合作，產業得到快速的發展。臺灣系統整合產業業在</w:t>
      </w:r>
      <w:r w:rsidRPr="00D15001">
        <w:rPr>
          <w:rFonts w:eastAsia="標楷體" w:hint="eastAsia"/>
          <w:sz w:val="26"/>
          <w:lang w:val="x-none"/>
        </w:rPr>
        <w:t>3-5</w:t>
      </w:r>
      <w:r w:rsidRPr="00D15001">
        <w:rPr>
          <w:rFonts w:eastAsia="標楷體" w:hint="eastAsia"/>
          <w:sz w:val="26"/>
          <w:lang w:val="x-none"/>
        </w:rPr>
        <w:t>年內沒有若做出代表性大廠或者代表性發展，未來將會面臨嚴峻的考驗。因此政府應該全力扶持自動化下游系統整合產業的發展，才能夠在因應中國大陸的競爭同時，既替自動化上中游產業（供給端）提供發展機會，又替產業自動化（需求端）提供更廣泛的服務領域。</w:t>
      </w:r>
      <w:r w:rsidRPr="00D15001">
        <w:rPr>
          <w:rFonts w:eastAsia="標楷體" w:hint="eastAsia"/>
          <w:sz w:val="26"/>
          <w:lang w:val="x-none"/>
        </w:rPr>
        <w:t xml:space="preserve"> </w:t>
      </w:r>
    </w:p>
    <w:p w:rsidR="004163FA" w:rsidRPr="00D15001" w:rsidRDefault="004163FA" w:rsidP="00483BD8">
      <w:pPr>
        <w:keepNext/>
        <w:snapToGrid w:val="0"/>
        <w:spacing w:beforeLines="20" w:before="72" w:afterLines="20" w:after="72"/>
        <w:ind w:left="721" w:hangingChars="200" w:hanging="721"/>
        <w:jc w:val="both"/>
        <w:outlineLvl w:val="2"/>
        <w:rPr>
          <w:rFonts w:eastAsia="標楷體"/>
          <w:b/>
          <w:bCs/>
          <w:sz w:val="36"/>
          <w:szCs w:val="36"/>
          <w:lang w:val="x-none"/>
        </w:rPr>
      </w:pPr>
      <w:r w:rsidRPr="00D15001">
        <w:rPr>
          <w:rFonts w:eastAsia="標楷體" w:hint="eastAsia"/>
          <w:b/>
          <w:bCs/>
          <w:sz w:val="36"/>
          <w:szCs w:val="36"/>
          <w:lang w:val="x-none"/>
        </w:rPr>
        <w:t>三</w:t>
      </w:r>
      <w:r w:rsidRPr="00D15001">
        <w:rPr>
          <w:rFonts w:eastAsia="標楷體"/>
          <w:b/>
          <w:bCs/>
          <w:sz w:val="36"/>
          <w:szCs w:val="36"/>
          <w:lang w:val="x-none"/>
        </w:rPr>
        <w:t>、</w:t>
      </w:r>
      <w:r w:rsidRPr="00483BD8">
        <w:rPr>
          <w:rFonts w:eastAsia="標楷體" w:hint="eastAsia"/>
          <w:b/>
          <w:bCs/>
          <w:sz w:val="36"/>
          <w:szCs w:val="36"/>
          <w:u w:val="single"/>
          <w:lang w:val="x-none"/>
        </w:rPr>
        <w:t>掌握全球自動化趨勢，積極推動資訊自動化在各製造領域應用</w:t>
      </w:r>
      <w:r w:rsidRPr="00D15001">
        <w:rPr>
          <w:rFonts w:eastAsia="標楷體" w:hint="eastAsia"/>
          <w:b/>
          <w:bCs/>
          <w:sz w:val="36"/>
          <w:szCs w:val="36"/>
          <w:lang w:val="x-none"/>
        </w:rPr>
        <w:t>。</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臺灣目前產業自動化問題在於每個分業、製程自動化程度差異大，像是半導體和光電業自動化程度高，電子組裝業則自動化程度低；而食品業在標準化產品自動化程度高，而非標準化產品和中小型業者則自動化程度相當低。也就是說，標準化產品和生命週期長者較容易導入自動化，目前臺灣在這些領域皆已高度自動化，未來只要將資訊自動化發展成熟，朝智慧自動化、智慧工廠邁進。而相對在這些領域，中國大陸該行業前幾大業者也都已有高度自動化水準，所以臺灣必須跟上全球自動化發展趨勢，發</w:t>
      </w:r>
      <w:r w:rsidRPr="00D15001">
        <w:rPr>
          <w:rFonts w:eastAsia="標楷體" w:hint="eastAsia"/>
          <w:sz w:val="26"/>
          <w:lang w:val="x-none"/>
        </w:rPr>
        <w:lastRenderedPageBreak/>
        <w:t>展智慧機械、倉儲系統和生產設備互聯互通，融合物聯網和雲端運算技術，連結到終端服務。在全球和中國大陸製造技術不斷</w:t>
      </w:r>
      <w:r>
        <w:rPr>
          <w:rFonts w:eastAsia="標楷體" w:hint="eastAsia"/>
          <w:sz w:val="26"/>
          <w:lang w:val="x-none"/>
        </w:rPr>
        <w:t>提升</w:t>
      </w:r>
      <w:r w:rsidRPr="00D15001">
        <w:rPr>
          <w:rFonts w:eastAsia="標楷體" w:hint="eastAsia"/>
          <w:sz w:val="26"/>
          <w:lang w:val="x-none"/>
        </w:rPr>
        <w:t>的同時，才能不被淘汰。</w:t>
      </w:r>
    </w:p>
    <w:p w:rsidR="004163FA" w:rsidRPr="00D15001"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而非標準化產品和生命週期短者，過去由於難以導入自動化而使得發展進度落後，在此時臺灣應該積極尋求解決方案，譬如融合自動化新概念－人機協同作業，達到有效率、可實現的自動化。在以人機協同方式導入製程自動化的同時，還必須考慮資訊自動化的可能性，譬如食品業的豬肉屠宰分切，雖然以臺灣的技術難以實現全製造自動化，但可以透過資訊系統即時掌握產品流向，以提高行業效益。</w:t>
      </w:r>
    </w:p>
    <w:p w:rsidR="004163FA" w:rsidRDefault="004163FA" w:rsidP="004163FA">
      <w:pPr>
        <w:spacing w:beforeLines="30" w:before="108" w:afterLines="30" w:after="108" w:line="520" w:lineRule="exact"/>
        <w:ind w:firstLineChars="200" w:firstLine="520"/>
        <w:jc w:val="both"/>
        <w:rPr>
          <w:rFonts w:eastAsia="標楷體"/>
          <w:sz w:val="26"/>
          <w:lang w:val="x-none"/>
        </w:rPr>
      </w:pPr>
      <w:r w:rsidRPr="00D15001">
        <w:rPr>
          <w:rFonts w:eastAsia="標楷體" w:hint="eastAsia"/>
          <w:sz w:val="26"/>
          <w:lang w:val="x-none"/>
        </w:rPr>
        <w:t>中國大陸隨著經濟快速的發展，東部沿海地區在許多製造領域的技術和管理能力已日趨成熟，兩岸製造品質和彈性越來越接近，製造能力差距逐漸在縮短甚至消失，再加上中國大陸正積極從事產業自動化的發展，未來在製造領域的競爭力不容小覷。由於中國大陸過去承接各國較低端製造生產環節，許多製程都是難以實現完全製造自動化，因此未來在非標準化產品和生命週期短者將是兩岸製造業競爭的重點，所以臺灣必須加快相對落後行業和製程的自動化發展程度。</w:t>
      </w:r>
    </w:p>
    <w:p w:rsidR="004163FA" w:rsidRPr="00F81EF5" w:rsidRDefault="004163FA" w:rsidP="004163FA">
      <w:pPr>
        <w:spacing w:beforeLines="30" w:before="108" w:afterLines="30" w:after="108" w:line="520" w:lineRule="exact"/>
        <w:ind w:firstLineChars="200" w:firstLine="520"/>
        <w:jc w:val="both"/>
        <w:rPr>
          <w:rFonts w:eastAsia="標楷體"/>
          <w:sz w:val="26"/>
          <w:lang w:val="x-none"/>
        </w:rPr>
      </w:pPr>
      <w:r>
        <w:rPr>
          <w:rFonts w:eastAsia="標楷體" w:hint="eastAsia"/>
          <w:sz w:val="26"/>
          <w:lang w:val="x-none"/>
        </w:rPr>
        <w:t>然而，政府應該委託相關技術法人單位進行深入研究，瞭解臺灣目前自動化系統發展現況，以及與國際先進技術間的落差。透過系統系研究掌握在全球趨勢脈絡下，臺灣應突破的項目並提出可行性的作法，這對臺灣整體產業才有實質性助益。</w:t>
      </w:r>
    </w:p>
    <w:p w:rsidR="004163FA" w:rsidRPr="00D15001" w:rsidRDefault="004163FA" w:rsidP="00483BD8">
      <w:pPr>
        <w:keepNext/>
        <w:snapToGrid w:val="0"/>
        <w:spacing w:beforeLines="20" w:before="72" w:afterLines="20" w:after="72"/>
        <w:ind w:left="721" w:hangingChars="200" w:hanging="721"/>
        <w:jc w:val="both"/>
        <w:outlineLvl w:val="2"/>
        <w:rPr>
          <w:rFonts w:eastAsia="標楷體"/>
          <w:b/>
          <w:bCs/>
          <w:sz w:val="36"/>
          <w:szCs w:val="36"/>
          <w:lang w:val="x-none"/>
        </w:rPr>
      </w:pPr>
      <w:r w:rsidRPr="00D15001">
        <w:rPr>
          <w:rFonts w:eastAsia="標楷體" w:hint="eastAsia"/>
          <w:b/>
          <w:bCs/>
          <w:sz w:val="36"/>
          <w:szCs w:val="36"/>
          <w:lang w:val="x-none"/>
        </w:rPr>
        <w:t>四</w:t>
      </w:r>
      <w:r w:rsidRPr="00D15001">
        <w:rPr>
          <w:rFonts w:eastAsia="標楷體"/>
          <w:b/>
          <w:bCs/>
          <w:sz w:val="36"/>
          <w:szCs w:val="36"/>
          <w:lang w:val="x-none"/>
        </w:rPr>
        <w:t>、</w:t>
      </w:r>
      <w:r w:rsidRPr="00483BD8">
        <w:rPr>
          <w:rFonts w:eastAsia="標楷體" w:hint="eastAsia"/>
          <w:b/>
          <w:bCs/>
          <w:sz w:val="36"/>
          <w:szCs w:val="36"/>
          <w:u w:val="single"/>
          <w:lang w:val="x-none"/>
        </w:rPr>
        <w:t>結合中國大陸先進技術的研發能量與臺灣電子資訊的開發能力，兩岸共同推動自動化發展</w:t>
      </w:r>
      <w:r w:rsidRPr="00D15001">
        <w:rPr>
          <w:rFonts w:eastAsia="標楷體" w:hint="eastAsia"/>
          <w:b/>
          <w:bCs/>
          <w:sz w:val="36"/>
          <w:szCs w:val="36"/>
          <w:lang w:val="x-none"/>
        </w:rPr>
        <w:t>。</w:t>
      </w:r>
    </w:p>
    <w:p w:rsidR="004163FA"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臺灣既要不斷</w:t>
      </w:r>
      <w:r>
        <w:rPr>
          <w:rFonts w:eastAsia="標楷體" w:hint="eastAsia"/>
          <w:sz w:val="26"/>
        </w:rPr>
        <w:t>提升</w:t>
      </w:r>
      <w:r w:rsidRPr="00D15001">
        <w:rPr>
          <w:rFonts w:eastAsia="標楷體" w:hint="eastAsia"/>
          <w:sz w:val="26"/>
        </w:rPr>
        <w:t>產業自動化程度，還要發展自動化產業的各種可能性，除了既有發展模式的延伸，與外商深入合作之外，中國大陸也是值得考慮的合作對象。中國大陸由於有政策的強力支持，在先進技術研發上進程速度相當快，以最新的十三五相關產業規劃為例，</w:t>
      </w:r>
      <w:r>
        <w:rPr>
          <w:rFonts w:eastAsia="標楷體" w:hint="eastAsia"/>
          <w:sz w:val="26"/>
        </w:rPr>
        <w:t>中國大陸工信部官員</w:t>
      </w:r>
      <w:r>
        <w:rPr>
          <w:rFonts w:eastAsia="標楷體" w:hint="eastAsia"/>
          <w:sz w:val="26"/>
        </w:rPr>
        <w:lastRenderedPageBreak/>
        <w:t>於</w:t>
      </w:r>
      <w:r>
        <w:rPr>
          <w:rFonts w:eastAsia="標楷體" w:hint="eastAsia"/>
          <w:sz w:val="26"/>
        </w:rPr>
        <w:t>2014</w:t>
      </w:r>
      <w:r>
        <w:rPr>
          <w:rFonts w:eastAsia="標楷體" w:hint="eastAsia"/>
          <w:sz w:val="26"/>
        </w:rPr>
        <w:t>年</w:t>
      </w:r>
      <w:r>
        <w:rPr>
          <w:rFonts w:eastAsia="標楷體" w:hint="eastAsia"/>
          <w:sz w:val="26"/>
        </w:rPr>
        <w:t>7</w:t>
      </w:r>
      <w:r>
        <w:rPr>
          <w:rFonts w:eastAsia="標楷體" w:hint="eastAsia"/>
          <w:sz w:val="26"/>
        </w:rPr>
        <w:t>月上海</w:t>
      </w:r>
      <w:r w:rsidRPr="00EA696E">
        <w:rPr>
          <w:rFonts w:eastAsia="標楷體" w:hint="eastAsia"/>
          <w:sz w:val="26"/>
        </w:rPr>
        <w:t>「中國國際機器人產業發展高峰論壇」</w:t>
      </w:r>
      <w:r>
        <w:rPr>
          <w:rFonts w:eastAsia="標楷體" w:hint="eastAsia"/>
          <w:sz w:val="26"/>
        </w:rPr>
        <w:t>透露，</w:t>
      </w:r>
      <w:r w:rsidRPr="00D15001">
        <w:rPr>
          <w:rFonts w:eastAsia="標楷體" w:hint="eastAsia"/>
          <w:sz w:val="26"/>
        </w:rPr>
        <w:t>機器人產業繼續被視為重點發展項目，預計到</w:t>
      </w:r>
      <w:r w:rsidRPr="00D15001">
        <w:rPr>
          <w:rFonts w:eastAsia="標楷體"/>
          <w:sz w:val="26"/>
        </w:rPr>
        <w:t>2020</w:t>
      </w:r>
      <w:r w:rsidRPr="00D15001">
        <w:rPr>
          <w:rFonts w:eastAsia="標楷體" w:hint="eastAsia"/>
          <w:sz w:val="26"/>
        </w:rPr>
        <w:t>年將培養</w:t>
      </w:r>
      <w:r w:rsidRPr="00D15001">
        <w:rPr>
          <w:rFonts w:eastAsia="標楷體"/>
          <w:sz w:val="26"/>
        </w:rPr>
        <w:t>3-5</w:t>
      </w:r>
      <w:r w:rsidRPr="00D15001">
        <w:rPr>
          <w:rFonts w:eastAsia="標楷體" w:hint="eastAsia"/>
          <w:sz w:val="26"/>
        </w:rPr>
        <w:t>家具國際競爭力的企業、機器人密度達到每萬人</w:t>
      </w:r>
      <w:r w:rsidRPr="00D15001">
        <w:rPr>
          <w:rFonts w:eastAsia="標楷體"/>
          <w:sz w:val="26"/>
        </w:rPr>
        <w:t>100</w:t>
      </w:r>
      <w:r w:rsidRPr="00D15001">
        <w:rPr>
          <w:rFonts w:eastAsia="標楷體" w:hint="eastAsia"/>
          <w:sz w:val="26"/>
        </w:rPr>
        <w:t>臺以上。在這樣的政策脈絡下，中國大陸在上游零組件和中游設備產業有機會取的突破性的進展。</w:t>
      </w:r>
      <w:r>
        <w:rPr>
          <w:rFonts w:eastAsia="標楷體" w:hint="eastAsia"/>
          <w:sz w:val="26"/>
        </w:rPr>
        <w:t>因此，</w:t>
      </w:r>
      <w:r w:rsidRPr="00C56B18">
        <w:rPr>
          <w:rFonts w:eastAsia="標楷體" w:hint="eastAsia"/>
          <w:sz w:val="26"/>
        </w:rPr>
        <w:t>中國大陸</w:t>
      </w:r>
      <w:r>
        <w:rPr>
          <w:rFonts w:eastAsia="標楷體" w:hint="eastAsia"/>
          <w:sz w:val="26"/>
        </w:rPr>
        <w:t>在</w:t>
      </w:r>
      <w:r w:rsidRPr="00C56B18">
        <w:rPr>
          <w:rFonts w:eastAsia="標楷體" w:hint="eastAsia"/>
          <w:sz w:val="26"/>
        </w:rPr>
        <w:t>十三五規劃</w:t>
      </w:r>
      <w:r>
        <w:rPr>
          <w:rFonts w:eastAsia="標楷體" w:hint="eastAsia"/>
          <w:sz w:val="26"/>
        </w:rPr>
        <w:t>關於自動化和機器人領域的後續動靜，值得我持續關注並掌握相關消息，以利後續政策的因應。</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臺灣由於過去自動化產業的發展經驗，相當擅長下游系統整合服務，在歐美日主導的新型自動化發展趨勢下，需要高度結合機械、電子、資訊軟體等產業的應用。臺灣在電子和資訊軟體產業相對具有競爭力，而在機械產業由於資源有限，無法像中國大陸投入大量資源在各個製造研發領域，即使有能力開發也無足以支撐的市場規模，因此臺灣可考慮在相對弱勢領域，尋求與中國大陸合作的可能性。</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中國大陸既有政策投入，又有廣泛的應用領域，在發展產業用設備具有先天的優勢。以食品機械為例，中國大陸非常積極投入新型的非熱加工技術研發，已小有進展，臺灣則尚未投入相關領域研發，在非熱加工機械的發展速度落後於中國大陸。因此兩岸在自動化產業合作，可以藉由中國大陸在先進技術領域的研發能量，結合臺灣電子資訊的開發能力，共同發展兩岸自動化產業，甚至是朝智慧工廠邁進。</w:t>
      </w:r>
    </w:p>
    <w:p w:rsidR="004163FA" w:rsidRPr="004373BA" w:rsidRDefault="004163FA" w:rsidP="004373BA">
      <w:pPr>
        <w:pStyle w:val="2"/>
        <w:spacing w:beforeLines="100" w:before="360" w:after="108"/>
      </w:pPr>
      <w:bookmarkStart w:id="74" w:name="_Toc405462600"/>
      <w:r w:rsidRPr="00D15001">
        <w:rPr>
          <w:rFonts w:hint="eastAsia"/>
        </w:rPr>
        <w:t>第四節　小結</w:t>
      </w:r>
      <w:bookmarkEnd w:id="74"/>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從美國「先進製造」、德國「工業</w:t>
      </w:r>
      <w:r w:rsidRPr="00D15001">
        <w:rPr>
          <w:rFonts w:eastAsia="標楷體"/>
          <w:sz w:val="26"/>
        </w:rPr>
        <w:t>4.0</w:t>
      </w:r>
      <w:r w:rsidRPr="00D15001">
        <w:rPr>
          <w:rFonts w:eastAsia="標楷體" w:hint="eastAsia"/>
          <w:sz w:val="26"/>
        </w:rPr>
        <w:t>」和日本「未來工廠」可發現為現有的自動化技術往上延伸到智慧工廠的概念，自動化強調虛擬製造技術、人機協同作業、彈性和可重組生產設備和系統、綠色製造等趨勢。而中國大陸經濟和社會情勢發生改變，為了因應此一變化，無論是在「自動化產業」或者是「產業自動化」都努力朝著這兩方面發展，在政策方面持續進行規劃</w:t>
      </w:r>
      <w:r>
        <w:rPr>
          <w:rFonts w:eastAsia="標楷體" w:hint="eastAsia"/>
          <w:sz w:val="26"/>
        </w:rPr>
        <w:t>布</w:t>
      </w:r>
      <w:r w:rsidRPr="00D15001">
        <w:rPr>
          <w:rFonts w:eastAsia="標楷體" w:hint="eastAsia"/>
          <w:sz w:val="26"/>
        </w:rPr>
        <w:t>局，在產業應用方面也快速擴張。預期未來中國大陸自動化產業</w:t>
      </w:r>
      <w:r w:rsidRPr="00D15001">
        <w:rPr>
          <w:rFonts w:eastAsia="標楷體" w:hint="eastAsia"/>
          <w:sz w:val="26"/>
        </w:rPr>
        <w:lastRenderedPageBreak/>
        <w:t>的實力逐漸成熟後，會加快產業自動化的進程，再配合本土供應鏈的日益壯大，將大幅提升整體製造業的競爭力。在這樣的變化下，勢必將改變兩岸和全球的製造業</w:t>
      </w:r>
      <w:r>
        <w:rPr>
          <w:rFonts w:eastAsia="標楷體" w:hint="eastAsia"/>
          <w:sz w:val="26"/>
        </w:rPr>
        <w:t>布</w:t>
      </w:r>
      <w:r w:rsidRPr="00D15001">
        <w:rPr>
          <w:rFonts w:eastAsia="標楷體" w:hint="eastAsia"/>
          <w:sz w:val="26"/>
        </w:rPr>
        <w:t>局，我國向來以製造業為核心競爭力，未來在兩岸競爭方面將面臨嚴峻的考驗。</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從電子</w:t>
      </w:r>
      <w:r w:rsidRPr="007E5A05">
        <w:rPr>
          <w:rFonts w:eastAsia="標楷體" w:hint="eastAsia"/>
          <w:spacing w:val="-4"/>
          <w:sz w:val="26"/>
        </w:rPr>
        <w:t>業來看，由於中國大陸後段組裝業居多，未來兩岸競爭趨勢在於製造自動化和人機協同作業。從食品業來看，標準化產品兩岸競爭重點在於包裝自動化和資訊自動化，非標準化產品則為人機協同作業。若臺灣能夠在上述領域有突破性的發展，將大幅提升製造</w:t>
      </w:r>
      <w:r w:rsidRPr="00D15001">
        <w:rPr>
          <w:rFonts w:eastAsia="標楷體" w:hint="eastAsia"/>
          <w:sz w:val="26"/>
        </w:rPr>
        <w:t>能力，進而</w:t>
      </w:r>
      <w:r>
        <w:rPr>
          <w:rFonts w:eastAsia="標楷體" w:hint="eastAsia"/>
          <w:sz w:val="26"/>
        </w:rPr>
        <w:t>提升</w:t>
      </w:r>
      <w:r w:rsidRPr="00D15001">
        <w:rPr>
          <w:rFonts w:eastAsia="標楷體" w:hint="eastAsia"/>
          <w:sz w:val="26"/>
        </w:rPr>
        <w:t>產業競爭力。</w:t>
      </w:r>
    </w:p>
    <w:p w:rsidR="004163FA" w:rsidRPr="00D15001" w:rsidRDefault="004163FA" w:rsidP="004163FA">
      <w:pPr>
        <w:spacing w:beforeLines="30" w:before="108" w:afterLines="30" w:after="108" w:line="520" w:lineRule="exact"/>
        <w:ind w:firstLineChars="200" w:firstLine="520"/>
        <w:jc w:val="both"/>
        <w:rPr>
          <w:rFonts w:eastAsia="標楷體"/>
          <w:sz w:val="26"/>
        </w:rPr>
      </w:pPr>
      <w:r w:rsidRPr="00D15001">
        <w:rPr>
          <w:rFonts w:eastAsia="標楷體" w:hint="eastAsia"/>
          <w:sz w:val="26"/>
        </w:rPr>
        <w:t>在中國大陸自動化趨勢下，對臺商而言既是機會也是挑戰，機會在於促進自身轉型升級和拓展新的業務，挑戰在於經營的轉變。對臺灣上游零組件而言挑戰大於機會，原因在於臺灣關鍵零組件研發能量相對中國大陸來的薄弱，中國大陸有政策的全力支持，未來將快速發展，取得關鍵技術。對臺灣中游設備製造和下游系統整合產業而言則是機會大於挑戰，藉由中國大陸旺盛的自動化需求，以及廣大的應用領域，提供臺灣下中游產業的發展契機。但是需注意中國大陸自動化產業的快速發展，在未來可能對臺灣造成挑戰。對</w:t>
      </w:r>
      <w:r>
        <w:rPr>
          <w:rFonts w:eastAsia="標楷體" w:hint="eastAsia"/>
          <w:sz w:val="26"/>
        </w:rPr>
        <w:t>臺灣製造業</w:t>
      </w:r>
      <w:r w:rsidRPr="00D15001">
        <w:rPr>
          <w:rFonts w:eastAsia="標楷體" w:hint="eastAsia"/>
          <w:sz w:val="26"/>
        </w:rPr>
        <w:t>而言挑戰大於機會，兩岸製造差距逐漸縮小甚至被超越，對臺灣產業而言是相當大的壓力，各製造領域應做好因應對策。</w:t>
      </w:r>
    </w:p>
    <w:p w:rsidR="00D46E98" w:rsidRDefault="004163FA" w:rsidP="0087278D">
      <w:pPr>
        <w:spacing w:beforeLines="30" w:before="108" w:afterLines="30" w:after="108" w:line="520" w:lineRule="exact"/>
        <w:ind w:firstLineChars="200" w:firstLine="520"/>
        <w:jc w:val="both"/>
        <w:rPr>
          <w:rFonts w:eastAsia="標楷體"/>
          <w:sz w:val="26"/>
        </w:rPr>
      </w:pPr>
      <w:r w:rsidRPr="00D15001">
        <w:rPr>
          <w:rFonts w:eastAsia="標楷體" w:hint="eastAsia"/>
          <w:sz w:val="26"/>
        </w:rPr>
        <w:t>根據以上提出以下四點政策建議</w:t>
      </w:r>
      <w:r w:rsidRPr="00D15001">
        <w:rPr>
          <w:rFonts w:ascii="標楷體" w:eastAsia="標楷體" w:hAnsi="標楷體" w:hint="eastAsia"/>
          <w:sz w:val="26"/>
        </w:rPr>
        <w:t>：</w:t>
      </w:r>
      <w:r w:rsidRPr="00D15001">
        <w:rPr>
          <w:rFonts w:eastAsia="標楷體" w:hint="eastAsia"/>
          <w:sz w:val="26"/>
        </w:rPr>
        <w:t>首先，臺灣自動化中游設備製造產業走向製造服務化，推廣中國大陸市場應用。其次，政府應扶持自動化下游系統整合（</w:t>
      </w:r>
      <w:r w:rsidRPr="00D15001">
        <w:rPr>
          <w:rFonts w:eastAsia="標楷體"/>
          <w:sz w:val="26"/>
        </w:rPr>
        <w:t>SI</w:t>
      </w:r>
      <w:r w:rsidRPr="00D15001">
        <w:rPr>
          <w:rFonts w:eastAsia="標楷體" w:hint="eastAsia"/>
          <w:sz w:val="26"/>
        </w:rPr>
        <w:t>）產業，一方面替供給端開拓市場，另一方面擴大需求端應用場域。第三，掌握全球自動化趨勢，積極推動資訊自動化在各製造領域應用。最後，結合中國大陸先進技術的研發能量與臺灣電子資訊的開發能力，兩岸共同推動自動化發展。</w:t>
      </w:r>
    </w:p>
    <w:p w:rsidR="00072853" w:rsidRPr="0087278D" w:rsidRDefault="00D46E98" w:rsidP="0087278D">
      <w:pPr>
        <w:spacing w:beforeLines="30" w:before="108" w:afterLines="30" w:after="108" w:line="520" w:lineRule="exact"/>
        <w:ind w:firstLineChars="200" w:firstLine="520"/>
        <w:jc w:val="both"/>
        <w:rPr>
          <w:rFonts w:eastAsia="標楷體"/>
          <w:sz w:val="26"/>
        </w:rPr>
      </w:pPr>
      <w:r>
        <w:rPr>
          <w:rFonts w:eastAsia="標楷體"/>
          <w:sz w:val="26"/>
        </w:rPr>
        <w:br w:type="page"/>
      </w:r>
    </w:p>
    <w:p w:rsidR="00FD5F24" w:rsidRPr="00072853" w:rsidRDefault="00FD5F24" w:rsidP="00FD5F24">
      <w:pPr>
        <w:pStyle w:val="-"/>
        <w:spacing w:before="108" w:after="108"/>
        <w:ind w:firstLine="560"/>
        <w:rPr>
          <w:spacing w:val="10"/>
          <w:szCs w:val="40"/>
        </w:rPr>
        <w:sectPr w:rsidR="00FD5F24" w:rsidRPr="00072853" w:rsidSect="00510EC9">
          <w:type w:val="oddPage"/>
          <w:pgSz w:w="11906" w:h="16838"/>
          <w:pgMar w:top="1440" w:right="1800" w:bottom="1440" w:left="1800" w:header="851" w:footer="992" w:gutter="0"/>
          <w:cols w:space="425"/>
          <w:docGrid w:type="lines" w:linePitch="360"/>
        </w:sectPr>
      </w:pPr>
    </w:p>
    <w:p w:rsidR="00D44990" w:rsidRPr="001539CC" w:rsidRDefault="00DB0C74" w:rsidP="00D44990">
      <w:pPr>
        <w:pStyle w:val="1"/>
      </w:pPr>
      <w:bookmarkStart w:id="75" w:name="_Toc405462601"/>
      <w:r w:rsidRPr="007B7B63">
        <w:rPr>
          <w:rFonts w:hint="eastAsia"/>
        </w:rPr>
        <w:lastRenderedPageBreak/>
        <w:t>第六章　結論與建議</w:t>
      </w:r>
      <w:bookmarkEnd w:id="75"/>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本研究根據中國大陸經濟與產業趨勢的最新發展，以及中共十八大換屆新一代領導執政後為背景，關注習李新政重大改革動向觀察，並以最新公布之十八屆三中全會改革方案內容所描繪之改革前景，選擇具體專題包含「稅制調整下生產性服務業之發展」、「中國大陸對外開放及區域經貿戰略之調整」、「自動化趨勢對兩岸製造業競爭之影響」等具有戰略高度且與我經濟較有相關的部分進行深入分析，從機會與挑戰角度來研判其對我國未來經濟、產業與兩岸經貿之影響。以下就結論與政策建議兩</w:t>
      </w:r>
      <w:r w:rsidR="0035101D">
        <w:rPr>
          <w:rFonts w:eastAsia="標楷體" w:hint="eastAsia"/>
          <w:sz w:val="26"/>
        </w:rPr>
        <w:t>部分</w:t>
      </w:r>
      <w:r w:rsidRPr="00D60304">
        <w:rPr>
          <w:rFonts w:eastAsia="標楷體" w:hint="eastAsia"/>
          <w:sz w:val="26"/>
        </w:rPr>
        <w:t>總結之。</w:t>
      </w:r>
    </w:p>
    <w:p w:rsidR="00D226F6" w:rsidRPr="009F2A4B" w:rsidRDefault="00D226F6" w:rsidP="00D226F6">
      <w:pPr>
        <w:pStyle w:val="2"/>
        <w:spacing w:beforeLines="100" w:before="360" w:after="108"/>
      </w:pPr>
      <w:bookmarkStart w:id="76" w:name="_Toc402435093"/>
      <w:bookmarkStart w:id="77" w:name="_Toc405462602"/>
      <w:r>
        <w:rPr>
          <w:rFonts w:hint="eastAsia"/>
        </w:rPr>
        <w:t>第一節　結論</w:t>
      </w:r>
      <w:bookmarkEnd w:id="76"/>
      <w:bookmarkEnd w:id="77"/>
    </w:p>
    <w:p w:rsidR="00D226F6" w:rsidRPr="003B1867" w:rsidRDefault="00D226F6" w:rsidP="00D226F6">
      <w:pPr>
        <w:pStyle w:val="3"/>
        <w:spacing w:beforeLines="50" w:before="180" w:after="72"/>
        <w:rPr>
          <w:rFonts w:ascii="Times New Roman" w:hAnsi="Times New Roman"/>
          <w:lang w:eastAsia="zh-TW"/>
        </w:rPr>
      </w:pPr>
      <w:r>
        <w:rPr>
          <w:rFonts w:ascii="Times New Roman" w:hAnsi="Times New Roman" w:hint="eastAsia"/>
          <w:lang w:eastAsia="zh-TW"/>
        </w:rPr>
        <w:t>壹</w:t>
      </w:r>
      <w:r w:rsidRPr="003B1867">
        <w:rPr>
          <w:rFonts w:ascii="Times New Roman" w:hAnsi="Times New Roman"/>
          <w:lang w:eastAsia="zh-TW"/>
        </w:rPr>
        <w:t>、</w:t>
      </w:r>
      <w:r w:rsidRPr="003B1867">
        <w:rPr>
          <w:rFonts w:ascii="Times New Roman" w:hAnsi="Times New Roman" w:hint="eastAsia"/>
          <w:lang w:eastAsia="zh-TW"/>
        </w:rPr>
        <w:t>習李新政大幅調整經濟與區域治理思維</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習李新政下，中共逐步調整其過去強調</w:t>
      </w:r>
      <w:r w:rsidRPr="00D60304">
        <w:rPr>
          <w:rFonts w:eastAsia="標楷體"/>
          <w:sz w:val="26"/>
        </w:rPr>
        <w:t>GDP</w:t>
      </w:r>
      <w:r w:rsidRPr="00D60304">
        <w:rPr>
          <w:rFonts w:eastAsia="標楷體" w:hint="eastAsia"/>
          <w:sz w:val="26"/>
        </w:rPr>
        <w:t>成長的方式，由單一發展目標（</w:t>
      </w:r>
      <w:r w:rsidRPr="00D60304">
        <w:rPr>
          <w:rFonts w:eastAsia="標楷體" w:hint="eastAsia"/>
          <w:sz w:val="26"/>
        </w:rPr>
        <w:t>GDP</w:t>
      </w:r>
      <w:r w:rsidRPr="00D60304">
        <w:rPr>
          <w:rFonts w:eastAsia="標楷體" w:hint="eastAsia"/>
          <w:sz w:val="26"/>
        </w:rPr>
        <w:t>）逐漸調整為多重發展目標（就業、物價、</w:t>
      </w:r>
      <w:r w:rsidRPr="00D60304">
        <w:rPr>
          <w:rFonts w:eastAsia="標楷體" w:hint="eastAsia"/>
          <w:sz w:val="26"/>
        </w:rPr>
        <w:t>GDP</w:t>
      </w:r>
      <w:r w:rsidRPr="00D60304">
        <w:rPr>
          <w:rFonts w:eastAsia="標楷體" w:hint="eastAsia"/>
          <w:sz w:val="26"/>
        </w:rPr>
        <w:t>）；針對傳統</w:t>
      </w:r>
      <w:r w:rsidRPr="00D60304">
        <w:rPr>
          <w:rFonts w:eastAsia="標楷體" w:hint="eastAsia"/>
          <w:sz w:val="26"/>
        </w:rPr>
        <w:t>GDP</w:t>
      </w:r>
      <w:r w:rsidRPr="00D60304">
        <w:rPr>
          <w:rFonts w:eastAsia="標楷體" w:hint="eastAsia"/>
          <w:sz w:val="26"/>
        </w:rPr>
        <w:t>成長目標的硬性限制也將放寬。透過中央宏觀調控的優先順序調整、調性轉變以及對於黨內地方幹部考核多元化與配套措施等方式，要透過降低成長速度來提供結構改革的空間，顯示更多重要的層面必須納入考量，包括社會與環境等，彰顯了深化改革的時代意義。</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從《十二五規劃中期評估》內容顯示未來環保領域的挑戰仍高；此外，評估之內容顯示了十二五規劃下半時期的重新調整，主要是與新領導與新政策方向接軌，延續至下一個五年規劃。對於已經進行的十三五規劃前期研究的重大課題分析，我們簡要以「深化改革、創新轉型、積極開放、提升治理」等特色來預測十三五規劃可能之主要思維。</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新型城鎮化目前方向明朗，但配套改革以及實行細節不足。新型城鎮</w:t>
      </w:r>
      <w:r w:rsidRPr="00D60304">
        <w:rPr>
          <w:rFonts w:eastAsia="標楷體" w:hint="eastAsia"/>
          <w:sz w:val="26"/>
        </w:rPr>
        <w:lastRenderedPageBreak/>
        <w:t>化再次確認了「兩橫三縱」的城市群布局格局、確認了「三個一億人」的農業轉移人口市民化的大方向、並且強調了新型城市建設綠色、智慧、人文的三大內涵。重點區域規劃中的長江經濟帶涵蓋面積廣、人口多，從沿海到內陸有許多要推進城鎮化之處，是區域規劃與</w:t>
      </w:r>
      <w:r w:rsidR="00E12C08">
        <w:rPr>
          <w:rFonts w:eastAsia="標楷體" w:hint="eastAsia"/>
          <w:sz w:val="26"/>
        </w:rPr>
        <w:t>中國大陸</w:t>
      </w:r>
      <w:r w:rsidRPr="00D60304">
        <w:rPr>
          <w:rFonts w:eastAsia="標楷體" w:hint="eastAsia"/>
          <w:sz w:val="26"/>
        </w:rPr>
        <w:t>國家改革重點又一重合的表現。</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在區域發展上，我們可以看到中共自十八大以來，就新一屆政府所逐步構建之區域發展政策藍圖當中，區域發展的政策思維已逐步由過去的「以區域發展帶動國家發展」轉向「國家發展策略的區域化」的特色。從上述習近平強調京津冀一體化和李克強提倡長江經濟帶，以及後續之珠江－西江經濟帶的內涵當中，都可以看到這些現象。以上顯示習李時代區域規劃的另一個脈絡是依託於大河流域。當然，以大江大河流域為主題，不代表僅止於水路，各項所謂要促成「互聯互通」的基礎設施，尤其是交通設施包括水路、鐵路、公路、空港等，都往往在目前重點區域規劃當中占據重要位置，這既反映了交通仍是目前中國大陸經濟與市場發展的重要前</w:t>
      </w:r>
      <w:r w:rsidRPr="00C74F59">
        <w:rPr>
          <w:rFonts w:eastAsia="標楷體" w:hint="eastAsia"/>
          <w:sz w:val="26"/>
        </w:rPr>
        <w:t>提，亦反映了</w:t>
      </w:r>
      <w:r w:rsidR="00013510" w:rsidRPr="00C74F59">
        <w:rPr>
          <w:rFonts w:eastAsia="標楷體" w:hint="eastAsia"/>
          <w:sz w:val="26"/>
        </w:rPr>
        <w:t>中國大陸</w:t>
      </w:r>
      <w:r w:rsidRPr="00C74F59">
        <w:rPr>
          <w:rFonts w:eastAsia="標楷體" w:hint="eastAsia"/>
          <w:sz w:val="26"/>
        </w:rPr>
        <w:t>要透過交通聯通來打破區域間市場分割的行政壁壘</w:t>
      </w:r>
      <w:r w:rsidRPr="00D60304">
        <w:rPr>
          <w:rFonts w:eastAsia="標楷體" w:hint="eastAsia"/>
          <w:sz w:val="26"/>
        </w:rPr>
        <w:t>的企圖。</w:t>
      </w:r>
    </w:p>
    <w:p w:rsidR="00D226F6" w:rsidRPr="00523161" w:rsidRDefault="00D226F6" w:rsidP="00D226F6">
      <w:pPr>
        <w:pStyle w:val="3"/>
        <w:spacing w:beforeLines="50" w:before="180" w:after="72"/>
        <w:rPr>
          <w:rFonts w:ascii="Times New Roman" w:hAnsi="Times New Roman"/>
          <w:lang w:eastAsia="zh-TW"/>
        </w:rPr>
      </w:pPr>
      <w:r w:rsidRPr="00523161">
        <w:rPr>
          <w:rFonts w:ascii="Times New Roman" w:hAnsi="Times New Roman" w:hint="eastAsia"/>
          <w:lang w:eastAsia="zh-TW"/>
        </w:rPr>
        <w:t>貳</w:t>
      </w:r>
      <w:r w:rsidRPr="00523161">
        <w:rPr>
          <w:rFonts w:ascii="Times New Roman" w:hAnsi="Times New Roman"/>
          <w:lang w:eastAsia="zh-TW"/>
        </w:rPr>
        <w:t>、</w:t>
      </w:r>
      <w:r w:rsidRPr="00523161">
        <w:rPr>
          <w:rFonts w:ascii="Times New Roman" w:hAnsi="Times New Roman" w:hint="eastAsia"/>
          <w:lang w:eastAsia="zh-TW"/>
        </w:rPr>
        <w:t>稅制變化帶動生產性服務之長期發展</w:t>
      </w:r>
    </w:p>
    <w:p w:rsidR="00D226F6" w:rsidRPr="00523161" w:rsidRDefault="00D226F6" w:rsidP="00D226F6">
      <w:pPr>
        <w:spacing w:beforeLines="30" w:before="108" w:afterLines="30" w:after="108" w:line="520" w:lineRule="exact"/>
        <w:ind w:firstLineChars="200" w:firstLine="520"/>
        <w:jc w:val="both"/>
        <w:rPr>
          <w:rFonts w:eastAsia="標楷體"/>
          <w:sz w:val="26"/>
        </w:rPr>
      </w:pPr>
      <w:r w:rsidRPr="00523161">
        <w:rPr>
          <w:rFonts w:eastAsia="標楷體" w:hint="eastAsia"/>
          <w:sz w:val="26"/>
        </w:rPr>
        <w:t>中國大陸營改增推行的背景是為了深化財稅體制改革、透過結構性減稅來促進經濟的穩定成長，以及經濟和產業結構的進一步優化調整。自</w:t>
      </w:r>
      <w:r w:rsidRPr="00523161">
        <w:rPr>
          <w:rFonts w:eastAsia="標楷體" w:hint="eastAsia"/>
          <w:sz w:val="26"/>
        </w:rPr>
        <w:t>2012</w:t>
      </w:r>
      <w:r>
        <w:rPr>
          <w:rFonts w:eastAsia="標楷體" w:hint="eastAsia"/>
          <w:sz w:val="26"/>
        </w:rPr>
        <w:t>年</w:t>
      </w:r>
      <w:r w:rsidRPr="00523161">
        <w:rPr>
          <w:rFonts w:eastAsia="標楷體" w:hint="eastAsia"/>
          <w:sz w:val="26"/>
        </w:rPr>
        <w:t>於上海試點實施以來，從</w:t>
      </w:r>
      <w:r w:rsidRPr="00523161">
        <w:rPr>
          <w:rFonts w:eastAsia="標楷體" w:hint="eastAsia"/>
          <w:sz w:val="26"/>
        </w:rPr>
        <w:t>1+6</w:t>
      </w:r>
      <w:r w:rsidRPr="00523161">
        <w:rPr>
          <w:rFonts w:eastAsia="標楷體" w:hint="eastAsia"/>
          <w:sz w:val="26"/>
        </w:rPr>
        <w:t>產業擴充而至全國範圍並加入其他產業。此一歷史性的重大稅制轉型，有著其對企業短期的直接影響，更有其長遠的產業升級效果。首先就營改增對產業之主要影響進行總結。一、營改增的實施企業將直接面臨稅負變動所產生的利潤影響，實施以來，整體而言普遍稅負是降低的。二、增值稅造成服務業市場與工商部門市場擴大與市場深化與分工。三、營改增有助於企業推動主輔分離，由大而全轉為</w:t>
      </w:r>
      <w:r w:rsidRPr="00523161">
        <w:rPr>
          <w:rFonts w:eastAsia="標楷體" w:hint="eastAsia"/>
          <w:sz w:val="26"/>
        </w:rPr>
        <w:lastRenderedPageBreak/>
        <w:t>專業化的經營，可提升核心產業的競爭力，也對於企業集團運作提供了更大的空間與彈性。大致總結其影響如下：生產性服務業市場規模擴大、業務種類更豐富、企業專業化經營程度提升；運用服務投入多之工商企業成本下降、服務投入選擇變多、可能透過業務外包或剝離而更專注於核心業務之經營；整體而言，二三級產業融合程度提升，競爭力因而皆能夠有所提升，集團企業業務布局彈性提高。</w:t>
      </w:r>
    </w:p>
    <w:p w:rsidR="00D226F6" w:rsidRPr="00523161" w:rsidRDefault="00D226F6" w:rsidP="00D226F6">
      <w:pPr>
        <w:spacing w:beforeLines="30" w:before="108" w:afterLines="30" w:after="108" w:line="520" w:lineRule="exact"/>
        <w:ind w:firstLineChars="200" w:firstLine="520"/>
        <w:jc w:val="both"/>
        <w:rPr>
          <w:rFonts w:eastAsia="標楷體"/>
          <w:sz w:val="26"/>
        </w:rPr>
      </w:pPr>
      <w:r w:rsidRPr="00523161">
        <w:rPr>
          <w:rFonts w:eastAsia="標楷體" w:hint="eastAsia"/>
          <w:sz w:val="26"/>
        </w:rPr>
        <w:t>而就營改增效應對我國產業發展之意涵而言，就我國生產性服務業在中國大陸之發展，包括已經在當地以及潛在投資者，未來可以預期在此有更多產業機會，包括工商企業外包之服務、稅負更少的環境、以及投資設備與上游服務的優化等；當然，與此同時也要面對更多來自當地以及國際同領域企業之競爭，但是透過既有與製造業</w:t>
      </w:r>
      <w:r>
        <w:rPr>
          <w:rFonts w:eastAsia="標楷體" w:hint="eastAsia"/>
          <w:sz w:val="26"/>
        </w:rPr>
        <w:t>臺</w:t>
      </w:r>
      <w:r w:rsidRPr="00523161">
        <w:rPr>
          <w:rFonts w:eastAsia="標楷體" w:hint="eastAsia"/>
          <w:sz w:val="26"/>
        </w:rPr>
        <w:t>商之供應鏈緊密度，應該在競爭製造業</w:t>
      </w:r>
      <w:r>
        <w:rPr>
          <w:rFonts w:eastAsia="標楷體" w:hint="eastAsia"/>
          <w:sz w:val="26"/>
        </w:rPr>
        <w:t>臺</w:t>
      </w:r>
      <w:r w:rsidRPr="00523161">
        <w:rPr>
          <w:rFonts w:eastAsia="標楷體" w:hint="eastAsia"/>
          <w:sz w:val="26"/>
        </w:rPr>
        <w:t>商的商機上更有優勢。而對於在我國境內之生產性服務業廠商而言，亦更有機會透過服務貿易的方式來跨境提供位於中國大陸經營之工商企業服務。</w:t>
      </w:r>
    </w:p>
    <w:p w:rsidR="00D226F6" w:rsidRPr="006A701C" w:rsidRDefault="00D226F6" w:rsidP="00D226F6">
      <w:pPr>
        <w:spacing w:beforeLines="30" w:before="108" w:afterLines="30" w:after="108" w:line="520" w:lineRule="exact"/>
        <w:ind w:firstLineChars="200" w:firstLine="520"/>
        <w:jc w:val="both"/>
        <w:rPr>
          <w:rFonts w:eastAsia="標楷體"/>
          <w:sz w:val="26"/>
        </w:rPr>
      </w:pPr>
      <w:r w:rsidRPr="00523161">
        <w:rPr>
          <w:rFonts w:eastAsia="標楷體" w:hint="eastAsia"/>
          <w:sz w:val="26"/>
        </w:rPr>
        <w:t>其次，就我國製造業</w:t>
      </w:r>
      <w:r>
        <w:rPr>
          <w:rFonts w:eastAsia="標楷體" w:hint="eastAsia"/>
          <w:sz w:val="26"/>
        </w:rPr>
        <w:t>臺</w:t>
      </w:r>
      <w:r w:rsidRPr="00523161">
        <w:rPr>
          <w:rFonts w:eastAsia="標楷體" w:hint="eastAsia"/>
          <w:sz w:val="26"/>
        </w:rPr>
        <w:t>商而言，其面對更多更優質的服務提供市場，同時也可以就其服務購買做為進項抵扣，對於其營運效益將有所提升；對於原本集團內部即有服務部門的</w:t>
      </w:r>
      <w:r>
        <w:rPr>
          <w:rFonts w:eastAsia="標楷體" w:hint="eastAsia"/>
          <w:sz w:val="26"/>
        </w:rPr>
        <w:t>臺</w:t>
      </w:r>
      <w:r w:rsidRPr="00523161">
        <w:rPr>
          <w:rFonts w:eastAsia="標楷體" w:hint="eastAsia"/>
          <w:sz w:val="26"/>
        </w:rPr>
        <w:t>商，可以考慮將各式業務獨立為子公司，專門提供母公司服務或甚至向外開拓市場都是可行方式，增加了企業布局的便利性。而對於在</w:t>
      </w:r>
      <w:r>
        <w:rPr>
          <w:rFonts w:eastAsia="標楷體" w:hint="eastAsia"/>
          <w:sz w:val="26"/>
        </w:rPr>
        <w:t>臺</w:t>
      </w:r>
      <w:r w:rsidRPr="00523161">
        <w:rPr>
          <w:rFonts w:eastAsia="標楷體" w:hint="eastAsia"/>
          <w:sz w:val="26"/>
        </w:rPr>
        <w:t>的製造廠商而言，未來亦有可能可以利用更多跨境提供、來自在中國大陸境內營運之服務業者（亦包括服務業</w:t>
      </w:r>
      <w:r>
        <w:rPr>
          <w:rFonts w:eastAsia="標楷體" w:hint="eastAsia"/>
          <w:sz w:val="26"/>
        </w:rPr>
        <w:t>臺</w:t>
      </w:r>
      <w:r w:rsidRPr="00523161">
        <w:rPr>
          <w:rFonts w:eastAsia="標楷體" w:hint="eastAsia"/>
          <w:sz w:val="26"/>
        </w:rPr>
        <w:t>商）的服務。</w:t>
      </w:r>
    </w:p>
    <w:p w:rsidR="00D226F6" w:rsidRPr="003B1867" w:rsidRDefault="00D226F6" w:rsidP="00D226F6">
      <w:pPr>
        <w:pStyle w:val="3"/>
        <w:spacing w:beforeLines="50" w:before="180" w:after="72"/>
        <w:rPr>
          <w:rFonts w:ascii="Times New Roman" w:hAnsi="Times New Roman"/>
          <w:lang w:eastAsia="zh-TW"/>
        </w:rPr>
      </w:pPr>
      <w:r>
        <w:rPr>
          <w:rFonts w:ascii="Times New Roman" w:hAnsi="Times New Roman" w:hint="eastAsia"/>
          <w:lang w:eastAsia="zh-TW"/>
        </w:rPr>
        <w:t>叁</w:t>
      </w:r>
      <w:r w:rsidRPr="003B1867">
        <w:rPr>
          <w:rFonts w:ascii="Times New Roman" w:hAnsi="Times New Roman"/>
          <w:lang w:eastAsia="zh-TW"/>
        </w:rPr>
        <w:t>、</w:t>
      </w:r>
      <w:r w:rsidRPr="003B1867">
        <w:rPr>
          <w:rFonts w:ascii="Times New Roman" w:hAnsi="Times New Roman" w:hint="eastAsia"/>
          <w:lang w:eastAsia="zh-TW"/>
        </w:rPr>
        <w:t>轉向大國崛起之對外戰略思維</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三中全會改革文件《決定》將「構建開放型經濟新體制」列為排序第六的改革領域，主要思維在於對內與對外開放相互促進、讓引進來與走出去有更佳結合、促進國際國內要素自由流動、加快培育參與和引領國際經濟合作競爭新優勢，以開放促進改革。此一「開放」與</w:t>
      </w:r>
      <w:r w:rsidRPr="00D60304">
        <w:rPr>
          <w:rFonts w:eastAsia="標楷體"/>
          <w:sz w:val="26"/>
        </w:rPr>
        <w:t>1978</w:t>
      </w:r>
      <w:r w:rsidRPr="00D60304">
        <w:rPr>
          <w:rFonts w:eastAsia="標楷體" w:hint="eastAsia"/>
          <w:sz w:val="26"/>
        </w:rPr>
        <w:t>年之際的扮</w:t>
      </w:r>
      <w:r w:rsidRPr="00D60304">
        <w:rPr>
          <w:rFonts w:eastAsia="標楷體" w:hint="eastAsia"/>
          <w:sz w:val="26"/>
        </w:rPr>
        <w:lastRenderedPageBreak/>
        <w:t>演中國大陸經濟轉軌關鍵動力的「開放」已在不同層次上，「構建開放型經濟新體制」是因應國際新形式的背景下所提出，繼承過去改革開放之經驗，也是習近平要完成「中國夢」，所必須面對的國際戰略問題－以建立新的大國形象為主軸，對外之戰略除了爭取海外資源、市場、投資，更要重視平衡、尊重和合作。過去的開放就是決定把門打開，現在的開放就是要決定如何與門外的所有力量互動，以強化自身發展與對世界的影響力。</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在此一脈絡下，中國大陸的對外開放與區域經貿戰略，既有與國際互動之內涵亦有國內配套次戰略的</w:t>
      </w:r>
      <w:r w:rsidR="0035101D">
        <w:rPr>
          <w:rFonts w:eastAsia="標楷體" w:hint="eastAsia"/>
          <w:sz w:val="26"/>
        </w:rPr>
        <w:t>部分</w:t>
      </w:r>
      <w:r w:rsidRPr="00D60304">
        <w:rPr>
          <w:rFonts w:eastAsia="標楷體" w:hint="eastAsia"/>
          <w:sz w:val="26"/>
        </w:rPr>
        <w:t>，既有積極對外開放的策略亦有內部制度改革的配套；大戰略中有小處著眼的地方，局部政策中亦可窺見宏觀戰略的企圖。無論是海陸絲路戰略、區域經貿戰略或是上海自貿區試驗等，置於前述之脈絡下，可以看到其相互連動的關係。如果較為簡略地說，以對外關係而言，中國大陸面對</w:t>
      </w:r>
      <w:r w:rsidRPr="00D60304">
        <w:rPr>
          <w:rFonts w:eastAsia="標楷體"/>
          <w:sz w:val="26"/>
        </w:rPr>
        <w:t>TPP</w:t>
      </w:r>
      <w:r w:rsidRPr="00D60304">
        <w:rPr>
          <w:rFonts w:eastAsia="標楷體" w:hint="eastAsia"/>
          <w:sz w:val="26"/>
        </w:rPr>
        <w:t>、</w:t>
      </w:r>
      <w:r w:rsidRPr="00D60304">
        <w:rPr>
          <w:rFonts w:eastAsia="標楷體"/>
          <w:sz w:val="26"/>
        </w:rPr>
        <w:t>RCEP</w:t>
      </w:r>
      <w:r w:rsidRPr="00D60304">
        <w:rPr>
          <w:rFonts w:eastAsia="標楷體" w:hint="eastAsia"/>
          <w:sz w:val="26"/>
        </w:rPr>
        <w:t>與</w:t>
      </w:r>
      <w:r w:rsidRPr="00D60304">
        <w:rPr>
          <w:rFonts w:eastAsia="標楷體"/>
          <w:sz w:val="26"/>
        </w:rPr>
        <w:t>FTAAP</w:t>
      </w:r>
      <w:r w:rsidRPr="00D60304">
        <w:rPr>
          <w:rFonts w:eastAsia="標楷體" w:hint="eastAsia"/>
          <w:sz w:val="26"/>
        </w:rPr>
        <w:t>等的區域經貿戰略以及上海自貿區試驗，可以說是應對美國的話；那麼絲綢之陸經濟帶和</w:t>
      </w:r>
      <w:r w:rsidRPr="00D60304">
        <w:rPr>
          <w:rFonts w:eastAsia="標楷體"/>
          <w:sz w:val="26"/>
        </w:rPr>
        <w:t>21</w:t>
      </w:r>
      <w:r w:rsidRPr="00D60304">
        <w:rPr>
          <w:rFonts w:eastAsia="標楷體" w:hint="eastAsia"/>
          <w:sz w:val="26"/>
        </w:rPr>
        <w:t>世紀海上絲綢之路的戰略，則是應對歐亞大陸且以歐洲為主的戰略。</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整體而言，習近平和李克強對外經貿戰略已經完全走出鄧小平「韜光養晦」路線，而是以「奮發有為」的大國風範圍為核心思維，未來中國大陸將以更主動積極融入世界經濟發展，並展開一套自己的做法，尤其是主導話語權和議題的設置。</w:t>
      </w:r>
    </w:p>
    <w:p w:rsidR="00D226F6" w:rsidRPr="003B1867" w:rsidRDefault="00D226F6" w:rsidP="00D226F6">
      <w:pPr>
        <w:pStyle w:val="3"/>
        <w:spacing w:beforeLines="50" w:before="180" w:after="72"/>
        <w:rPr>
          <w:rFonts w:ascii="Times New Roman" w:hAnsi="Times New Roman"/>
          <w:lang w:eastAsia="zh-TW"/>
        </w:rPr>
      </w:pPr>
      <w:r w:rsidRPr="00BF6BCE">
        <w:rPr>
          <w:rFonts w:ascii="Times New Roman" w:hAnsi="Times New Roman" w:hint="eastAsia"/>
          <w:lang w:eastAsia="zh-TW"/>
        </w:rPr>
        <w:t>肆</w:t>
      </w:r>
      <w:r w:rsidRPr="00BF6BCE">
        <w:rPr>
          <w:rFonts w:ascii="Times New Roman" w:hAnsi="Times New Roman"/>
          <w:lang w:eastAsia="zh-TW"/>
        </w:rPr>
        <w:t>、</w:t>
      </w:r>
      <w:r w:rsidRPr="00BF6BCE">
        <w:rPr>
          <w:rFonts w:ascii="Times New Roman" w:hAnsi="Times New Roman" w:hint="eastAsia"/>
          <w:lang w:eastAsia="zh-TW"/>
        </w:rPr>
        <w:t>自動化趨勢提升兩岸製造業競爭層級</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從美國「先進製造」、德國「工業</w:t>
      </w:r>
      <w:r w:rsidRPr="00D60304">
        <w:rPr>
          <w:rFonts w:eastAsia="標楷體" w:hint="eastAsia"/>
          <w:sz w:val="26"/>
        </w:rPr>
        <w:t>4.0</w:t>
      </w:r>
      <w:r w:rsidRPr="00D60304">
        <w:rPr>
          <w:rFonts w:eastAsia="標楷體" w:hint="eastAsia"/>
          <w:sz w:val="26"/>
        </w:rPr>
        <w:t>」和日本「未來工廠」可發現為現有的自動化技術往上延伸到智慧工廠的概念，自動化強調虛擬製造技術、人機協同作業、彈性和可重組生產設備和系統、綠色製造等趨勢。而中國大陸經濟和社會情勢發生改變，為了因應此一變化，無論是在「自動化產業」或者是「產業自動化」都努力朝著這兩方面發展，在政策方面持續進行規劃布局，在產業應用方面也快速擴張。預期未來中國大陸自動化產業</w:t>
      </w:r>
      <w:r w:rsidRPr="00D60304">
        <w:rPr>
          <w:rFonts w:eastAsia="標楷體" w:hint="eastAsia"/>
          <w:sz w:val="26"/>
        </w:rPr>
        <w:lastRenderedPageBreak/>
        <w:t>的實力逐漸成熟後，會加快產業自動化的進程，再配合本土供應鏈的日益壯大，將大幅提升整體製造業的競爭力。在這樣的變化下，勢必將改變兩岸和全球的製造業布局，我國向來以製造業為核心競爭力，未來在兩岸競爭方面將面臨嚴峻的考驗。</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從電子業來看，由於中國大陸後段組裝業居多，未來兩岸競爭趨勢在於製造自動化和人機協同作業，前者以機械替代人力，降低目前大量勞動力的使用；後者以兼具高彈性製程，實現更有效率和效益的生產方式。從食品業來看，標準化產品兩岸競爭重點在於包裝自動化和資訊自動化，非標準化產品則為人機協同作業。若臺灣能夠在上述領域有突破性的發展，將大幅提升製造能力，進而提升產業競爭力。</w:t>
      </w:r>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在中國大陸自動化趨勢下，對臺商而言既是機會也是挑戰，機會在於促進自身轉型升級和拓展新的業務，挑戰在於經營的轉變。對臺灣上游零組件而言挑戰大於機會，原因在於臺灣關鍵零組件研發能量相對中國大陸來的薄弱，中國大陸有政策的全力支持，未來將快速發展，取得關鍵技術。對臺灣中游設備製造和下游系統整合產業而言則是機會大於挑戰，藉由中國大陸旺盛的自動化需求，以及廣大的應用領域，提供臺灣下中游產業的發展契機。但是需注意中國大陸自動化產業的快速發展，在未來可能對臺灣造成挑戰。對臺灣經濟體而言挑戰大於機會，兩岸製造差距逐漸縮小甚至被超越，對臺灣產業而言是相當大的壓力，各製造領域應做好因應對策。</w:t>
      </w:r>
    </w:p>
    <w:p w:rsidR="00D226F6" w:rsidRPr="009F2A4B" w:rsidRDefault="00D226F6" w:rsidP="00D226F6">
      <w:pPr>
        <w:pStyle w:val="2"/>
        <w:spacing w:beforeLines="100" w:before="360" w:after="108"/>
      </w:pPr>
      <w:bookmarkStart w:id="78" w:name="_Toc402435094"/>
      <w:bookmarkStart w:id="79" w:name="_Toc405462603"/>
      <w:r>
        <w:rPr>
          <w:rFonts w:hint="eastAsia"/>
        </w:rPr>
        <w:t>第二節　政策建議</w:t>
      </w:r>
      <w:bookmarkEnd w:id="78"/>
      <w:bookmarkEnd w:id="79"/>
    </w:p>
    <w:p w:rsidR="00D226F6" w:rsidRPr="00D60304" w:rsidRDefault="00D226F6" w:rsidP="00D60304">
      <w:pPr>
        <w:spacing w:beforeLines="30" w:before="108" w:afterLines="30" w:after="108" w:line="520" w:lineRule="exact"/>
        <w:ind w:firstLineChars="200" w:firstLine="520"/>
        <w:jc w:val="both"/>
        <w:rPr>
          <w:rFonts w:eastAsia="標楷體"/>
          <w:sz w:val="26"/>
        </w:rPr>
      </w:pPr>
      <w:r w:rsidRPr="00D60304">
        <w:rPr>
          <w:rFonts w:eastAsia="標楷體" w:hint="eastAsia"/>
          <w:sz w:val="26"/>
        </w:rPr>
        <w:t>根據前述之研究探討，在此就中國大陸臺商經營、我國產業與貿易發展以及兩岸政策前瞻等面向，提出各項政策建議。最後並根據本研究內容提出對未來應積極進行研究之議題。</w:t>
      </w:r>
    </w:p>
    <w:p w:rsidR="00D226F6" w:rsidRPr="003B1867" w:rsidRDefault="00D226F6" w:rsidP="00D226F6">
      <w:pPr>
        <w:pStyle w:val="3"/>
        <w:spacing w:beforeLines="50" w:before="180" w:after="72"/>
        <w:rPr>
          <w:rFonts w:ascii="Times New Roman" w:hAnsi="Times New Roman"/>
        </w:rPr>
      </w:pPr>
      <w:r w:rsidRPr="003B1867">
        <w:rPr>
          <w:rFonts w:ascii="Times New Roman" w:hAnsi="Times New Roman" w:hint="eastAsia"/>
          <w:lang w:eastAsia="zh-TW"/>
        </w:rPr>
        <w:lastRenderedPageBreak/>
        <w:t>壹</w:t>
      </w:r>
      <w:r w:rsidRPr="003B1867">
        <w:rPr>
          <w:rFonts w:ascii="Times New Roman" w:hAnsi="Times New Roman"/>
        </w:rPr>
        <w:t>、</w:t>
      </w:r>
      <w:r w:rsidRPr="003B1867">
        <w:rPr>
          <w:rFonts w:ascii="Times New Roman" w:hAnsi="Times New Roman" w:hint="eastAsia"/>
          <w:lang w:eastAsia="zh-TW"/>
        </w:rPr>
        <w:t>關於</w:t>
      </w:r>
      <w:r w:rsidRPr="003B1867">
        <w:rPr>
          <w:rFonts w:ascii="Times New Roman" w:hAnsi="Times New Roman" w:hint="eastAsia"/>
        </w:rPr>
        <w:t>中國大陸</w:t>
      </w:r>
      <w:r>
        <w:rPr>
          <w:rFonts w:ascii="Times New Roman" w:hAnsi="Times New Roman" w:hint="eastAsia"/>
        </w:rPr>
        <w:t>臺</w:t>
      </w:r>
      <w:r w:rsidRPr="003B1867">
        <w:rPr>
          <w:rFonts w:ascii="Times New Roman" w:hAnsi="Times New Roman" w:hint="eastAsia"/>
        </w:rPr>
        <w:t>商經營</w:t>
      </w:r>
    </w:p>
    <w:p w:rsidR="00D226F6" w:rsidRDefault="00D226F6" w:rsidP="00D226F6">
      <w:pPr>
        <w:pStyle w:val="-"/>
        <w:numPr>
          <w:ilvl w:val="0"/>
          <w:numId w:val="8"/>
        </w:numPr>
        <w:spacing w:before="108" w:after="108"/>
        <w:ind w:firstLineChars="0"/>
      </w:pPr>
      <w:r>
        <w:rPr>
          <w:rFonts w:hint="eastAsia"/>
        </w:rPr>
        <w:t>在海陸絲綢之路戰略中，初期會以基礎設施為主要可能機會，我國臺商應積極思考部分營造、機電或資訊設備領域之機會，甚至透過各種平臺或管道來協助我國政府與中國大陸商談合作或是架構更適當的平臺，以擴大臺商參與建設之可能。而對於在大陸內陸較有基礎的臺商而言，投資經營視野亦應由「開發中國大陸內需」再加上「開拓中、西、南亞以及歐洲國際市場」之概念。</w:t>
      </w:r>
    </w:p>
    <w:p w:rsidR="00D226F6" w:rsidRDefault="00D226F6" w:rsidP="00D226F6">
      <w:pPr>
        <w:pStyle w:val="-"/>
        <w:numPr>
          <w:ilvl w:val="0"/>
          <w:numId w:val="8"/>
        </w:numPr>
        <w:spacing w:before="108" w:after="108"/>
        <w:ind w:firstLineChars="0"/>
      </w:pPr>
      <w:r>
        <w:rPr>
          <w:rFonts w:hint="eastAsia"/>
        </w:rPr>
        <w:t>京津冀過去臺商經營的基礎不如長、珠三角深厚，但未來可以從兩個角度來協助臺商在此經營布局：</w:t>
      </w:r>
      <w:r>
        <w:t xml:space="preserve">1. </w:t>
      </w:r>
      <w:r>
        <w:rPr>
          <w:rFonts w:hint="eastAsia"/>
        </w:rPr>
        <w:t>北京具有首都特有的輻射效果與政治資源，過去在北京設點成本較高，在京津冀一體化後在此區布局之成本可望降低，在京津冀之整體布局可以更有彈性；</w:t>
      </w:r>
      <w:r>
        <w:t xml:space="preserve">2. </w:t>
      </w:r>
      <w:r>
        <w:rPr>
          <w:rFonts w:hint="eastAsia"/>
        </w:rPr>
        <w:t>此區與日、韓往來較深且便利，包括即將啟動之「中」韓</w:t>
      </w:r>
      <w:r>
        <w:rPr>
          <w:rFonts w:hint="eastAsia"/>
        </w:rPr>
        <w:t>FTA</w:t>
      </w:r>
      <w:r>
        <w:rPr>
          <w:rFonts w:hint="eastAsia"/>
        </w:rPr>
        <w:t>以及未來「中」日韓自貿區可能啟動，在此經營有助於臺商強化與日本、韓國之合作。</w:t>
      </w:r>
    </w:p>
    <w:p w:rsidR="00D226F6" w:rsidRPr="00341882" w:rsidRDefault="00D226F6" w:rsidP="00D226F6">
      <w:pPr>
        <w:pStyle w:val="-"/>
        <w:numPr>
          <w:ilvl w:val="0"/>
          <w:numId w:val="9"/>
        </w:numPr>
        <w:spacing w:before="108" w:after="108"/>
        <w:ind w:firstLineChars="0"/>
      </w:pPr>
      <w:r>
        <w:rPr>
          <w:rFonts w:hint="eastAsia"/>
        </w:rPr>
        <w:t>臺</w:t>
      </w:r>
      <w:r w:rsidRPr="00341882">
        <w:rPr>
          <w:rFonts w:hint="eastAsia"/>
        </w:rPr>
        <w:t>商在中國大陸經營最深厚的地方在長三角，上海自貿區</w:t>
      </w:r>
      <w:r>
        <w:rPr>
          <w:rFonts w:hint="eastAsia"/>
        </w:rPr>
        <w:t>試驗</w:t>
      </w:r>
      <w:r w:rsidRPr="00341882">
        <w:rPr>
          <w:rFonts w:hint="eastAsia"/>
        </w:rPr>
        <w:t>提供了一個區域發展的新契機。結合新的長江經濟帶規劃，</w:t>
      </w:r>
      <w:r>
        <w:rPr>
          <w:rFonts w:hint="eastAsia"/>
        </w:rPr>
        <w:t>臺</w:t>
      </w:r>
      <w:r w:rsidRPr="00341882">
        <w:rPr>
          <w:rFonts w:hint="eastAsia"/>
        </w:rPr>
        <w:t>商可思考以上海或長三角為</w:t>
      </w:r>
      <w:r>
        <w:rPr>
          <w:rFonts w:hint="eastAsia"/>
        </w:rPr>
        <w:t>總部</w:t>
      </w:r>
      <w:r w:rsidRPr="00341882">
        <w:rPr>
          <w:rFonts w:hint="eastAsia"/>
        </w:rPr>
        <w:t>基地，延長江向上發展內陸市場，尤其是新型城鎮化提供許多消費品、城鎮建設、服務業發展的機會，</w:t>
      </w:r>
      <w:r>
        <w:rPr>
          <w:rFonts w:hint="eastAsia"/>
        </w:rPr>
        <w:t>除以智慧與綠色等</w:t>
      </w:r>
      <w:r w:rsidRPr="00341882">
        <w:rPr>
          <w:rFonts w:hint="eastAsia"/>
        </w:rPr>
        <w:t>新型城鎮化</w:t>
      </w:r>
      <w:r>
        <w:rPr>
          <w:rFonts w:hint="eastAsia"/>
        </w:rPr>
        <w:t>方向商機為主要考量外，亦可</w:t>
      </w:r>
      <w:r w:rsidRPr="00341882">
        <w:rPr>
          <w:rFonts w:hint="eastAsia"/>
        </w:rPr>
        <w:t>配合兩岸服貿協議</w:t>
      </w:r>
      <w:r>
        <w:rPr>
          <w:rFonts w:hint="eastAsia"/>
        </w:rPr>
        <w:t>中大陸</w:t>
      </w:r>
      <w:r w:rsidRPr="00341882">
        <w:rPr>
          <w:rFonts w:hint="eastAsia"/>
        </w:rPr>
        <w:t>開放</w:t>
      </w:r>
      <w:r>
        <w:rPr>
          <w:rFonts w:hint="eastAsia"/>
        </w:rPr>
        <w:t>之內容，例如開放</w:t>
      </w:r>
      <w:r w:rsidRPr="00341882">
        <w:rPr>
          <w:rFonts w:hint="eastAsia"/>
        </w:rPr>
        <w:t>設立村鎮銀行</w:t>
      </w:r>
      <w:r>
        <w:rPr>
          <w:rFonts w:hint="eastAsia"/>
        </w:rPr>
        <w:t>可考慮在此區域</w:t>
      </w:r>
      <w:r w:rsidRPr="00341882">
        <w:rPr>
          <w:rFonts w:hint="eastAsia"/>
        </w:rPr>
        <w:t>發展城鎮金融市場</w:t>
      </w:r>
      <w:r>
        <w:rPr>
          <w:rFonts w:hint="eastAsia"/>
        </w:rPr>
        <w:t>，來加以思考</w:t>
      </w:r>
      <w:r w:rsidRPr="00341882">
        <w:rPr>
          <w:rFonts w:hint="eastAsia"/>
        </w:rPr>
        <w:t>。</w:t>
      </w:r>
    </w:p>
    <w:p w:rsidR="00D226F6" w:rsidRDefault="00D226F6" w:rsidP="00D226F6">
      <w:pPr>
        <w:pStyle w:val="-"/>
        <w:numPr>
          <w:ilvl w:val="0"/>
          <w:numId w:val="9"/>
        </w:numPr>
        <w:spacing w:before="108" w:after="108"/>
        <w:ind w:firstLineChars="0"/>
      </w:pPr>
      <w:r>
        <w:rPr>
          <w:rFonts w:hint="eastAsia"/>
        </w:rPr>
        <w:t>中國大陸稅制調整長期對產業結構之影響，牽動我國服務業與製造業在兩岸布局的思維。考量我國較有優勢之營改增範圍內之生產性服務業，且以根留臺灣跨境輸出服務優先之餘，仍應積極鼓勵到海外投資，建議政府針對</w:t>
      </w:r>
      <w:r w:rsidRPr="005B0C2E">
        <w:rPr>
          <w:rFonts w:hint="eastAsia"/>
        </w:rPr>
        <w:t>水路運輸服務、有形動產租賃</w:t>
      </w:r>
      <w:r>
        <w:rPr>
          <w:rFonts w:hint="eastAsia"/>
        </w:rPr>
        <w:t>業以</w:t>
      </w:r>
      <w:r>
        <w:rPr>
          <w:rFonts w:hint="eastAsia"/>
        </w:rPr>
        <w:lastRenderedPageBreak/>
        <w:t>及</w:t>
      </w:r>
      <w:r w:rsidRPr="005B0C2E">
        <w:rPr>
          <w:rFonts w:hint="eastAsia"/>
        </w:rPr>
        <w:t>研發和技術服務、資訊技術服務、文化創意服務、鑒證諮詢服務</w:t>
      </w:r>
      <w:r>
        <w:rPr>
          <w:rFonts w:hint="eastAsia"/>
        </w:rPr>
        <w:t>等四類優勢服務業中有必要赴客戶所在地投資的細類行業或特殊情況，推動有助於排除其赴大陸投資之障礙，藉由擴大海外投資來壯大我國生產性服務業與製造業之實力。</w:t>
      </w:r>
    </w:p>
    <w:p w:rsidR="00D226F6" w:rsidRDefault="00D226F6" w:rsidP="00D226F6">
      <w:pPr>
        <w:pStyle w:val="-"/>
        <w:numPr>
          <w:ilvl w:val="0"/>
          <w:numId w:val="9"/>
        </w:numPr>
        <w:spacing w:before="108" w:after="108"/>
        <w:ind w:firstLineChars="0"/>
      </w:pPr>
      <w:r>
        <w:rPr>
          <w:rFonts w:hint="eastAsia"/>
        </w:rPr>
        <w:t>針對</w:t>
      </w:r>
      <w:r w:rsidRPr="00D05A68">
        <w:rPr>
          <w:rFonts w:hint="eastAsia"/>
        </w:rPr>
        <w:t>臺灣自動化中游設備製造產業</w:t>
      </w:r>
      <w:r>
        <w:rPr>
          <w:rFonts w:hint="eastAsia"/>
        </w:rPr>
        <w:t>，</w:t>
      </w:r>
      <w:r w:rsidRPr="00D05A68">
        <w:rPr>
          <w:rFonts w:hint="eastAsia"/>
        </w:rPr>
        <w:t>受限於</w:t>
      </w:r>
      <w:r>
        <w:rPr>
          <w:rFonts w:hint="eastAsia"/>
        </w:rPr>
        <w:t>臺</w:t>
      </w:r>
      <w:r w:rsidRPr="00D05A68">
        <w:rPr>
          <w:rFonts w:hint="eastAsia"/>
        </w:rPr>
        <w:t>灣設備為後發品牌，必須要有差異化發展策略才能有機會進入市場的利基，</w:t>
      </w:r>
      <w:r>
        <w:rPr>
          <w:rFonts w:hint="eastAsia"/>
        </w:rPr>
        <w:t>建議</w:t>
      </w:r>
      <w:r w:rsidRPr="00D05A68">
        <w:rPr>
          <w:rFonts w:hint="eastAsia"/>
        </w:rPr>
        <w:t>走製造服務化</w:t>
      </w:r>
      <w:r>
        <w:rPr>
          <w:rFonts w:hint="eastAsia"/>
        </w:rPr>
        <w:t>方向，推廣在中國大陸市場之應用；</w:t>
      </w:r>
      <w:r w:rsidRPr="00D05A68">
        <w:rPr>
          <w:rFonts w:hint="eastAsia"/>
        </w:rPr>
        <w:t>藉由銷售機械設備同時提供系統整合服務，既提高使用者意願，也協助供應者技術精進</w:t>
      </w:r>
      <w:r>
        <w:rPr>
          <w:rFonts w:hint="eastAsia"/>
        </w:rPr>
        <w:t>，進而提升我國自動化設備發展。</w:t>
      </w:r>
    </w:p>
    <w:p w:rsidR="00D226F6" w:rsidRDefault="00D226F6" w:rsidP="00D226F6">
      <w:pPr>
        <w:pStyle w:val="-"/>
        <w:numPr>
          <w:ilvl w:val="0"/>
          <w:numId w:val="9"/>
        </w:numPr>
        <w:spacing w:before="108" w:after="108"/>
        <w:ind w:firstLineChars="0"/>
      </w:pPr>
      <w:r>
        <w:rPr>
          <w:rFonts w:hint="eastAsia"/>
        </w:rPr>
        <w:t>整體而言，臺商投資中國大陸之方向應該跳脫以往思維，並考慮已有之基礎，朝向新興產業、附加價值高之產業或是舊產業升級轉型等方向來思考投資，特定生產業服務業或是自動化設備或服務業將有較多機會；而在投資區域上，可將國際區域與大陸內部區域之經營共同思考，布局市場經營或生產活動，京津冀、長江經濟帶以及海陸絲綢之路戰略內涵都可以做為投資之參考。</w:t>
      </w:r>
    </w:p>
    <w:p w:rsidR="00D226F6" w:rsidRPr="003B1867" w:rsidRDefault="00D226F6" w:rsidP="00D226F6">
      <w:pPr>
        <w:pStyle w:val="3"/>
        <w:spacing w:beforeLines="50" w:before="180" w:after="72"/>
        <w:rPr>
          <w:rFonts w:ascii="Times New Roman" w:hAnsi="Times New Roman"/>
          <w:lang w:eastAsia="zh-TW"/>
        </w:rPr>
      </w:pPr>
      <w:r w:rsidRPr="003B1867">
        <w:rPr>
          <w:rFonts w:ascii="Times New Roman" w:hAnsi="Times New Roman" w:hint="eastAsia"/>
          <w:lang w:eastAsia="zh-TW"/>
        </w:rPr>
        <w:t>貳</w:t>
      </w:r>
      <w:r w:rsidRPr="003B1867">
        <w:rPr>
          <w:rFonts w:ascii="Times New Roman" w:hAnsi="Times New Roman"/>
          <w:lang w:eastAsia="zh-TW"/>
        </w:rPr>
        <w:t>、</w:t>
      </w:r>
      <w:r w:rsidRPr="003B1867">
        <w:rPr>
          <w:rFonts w:ascii="Times New Roman" w:hAnsi="Times New Roman" w:hint="eastAsia"/>
          <w:lang w:eastAsia="zh-TW"/>
        </w:rPr>
        <w:t>關於我國產業與貿易發展</w:t>
      </w:r>
    </w:p>
    <w:p w:rsidR="00D226F6" w:rsidRDefault="00D226F6" w:rsidP="00D226F6">
      <w:pPr>
        <w:pStyle w:val="-"/>
        <w:numPr>
          <w:ilvl w:val="0"/>
          <w:numId w:val="8"/>
        </w:numPr>
        <w:spacing w:before="108" w:after="108"/>
        <w:ind w:firstLineChars="0"/>
      </w:pPr>
      <w:r>
        <w:rPr>
          <w:rFonts w:hint="eastAsia"/>
        </w:rPr>
        <w:t>有鑒於中國大陸經濟成長趨向保守與調整，我國以中國大陸為重要海外市場的思維必須要更聚焦於選擇性的產業，尤其是符合其結構調整或是改革思維的新興產業機會，例如綠色環保產業、城鎮發展建設之需求等。而在其海陸絲綢之路長期戰略推進下，我國可順勢重新平衡對外投資偏重中國大陸之情況，甚至與其合作共同經營新興國家市場。</w:t>
      </w:r>
    </w:p>
    <w:p w:rsidR="00D226F6" w:rsidRDefault="00D226F6" w:rsidP="00D226F6">
      <w:pPr>
        <w:pStyle w:val="-"/>
        <w:numPr>
          <w:ilvl w:val="0"/>
          <w:numId w:val="8"/>
        </w:numPr>
        <w:spacing w:before="108" w:after="108"/>
        <w:ind w:firstLineChars="0"/>
      </w:pPr>
      <w:r>
        <w:rPr>
          <w:rFonts w:hint="eastAsia"/>
        </w:rPr>
        <w:t>就新型城鎮化建設三大主軸，強調綠色、智慧與人文，都是我國產業的強項，政府應持續追蹤城鎮化施行細則與配套措施的發布，以及各種點城市群建設之特色，從中尋找可能形成我國產業與臺</w:t>
      </w:r>
      <w:r>
        <w:rPr>
          <w:rFonts w:hint="eastAsia"/>
        </w:rPr>
        <w:lastRenderedPageBreak/>
        <w:t>商的機會（例如目前我國正大力推動之智慧城市解決方案），將之納入兩岸後續關於</w:t>
      </w:r>
      <w:r>
        <w:t>ECFA</w:t>
      </w:r>
      <w:r>
        <w:rPr>
          <w:rFonts w:hint="eastAsia"/>
        </w:rPr>
        <w:t>談判與產業合作的內容。</w:t>
      </w:r>
    </w:p>
    <w:p w:rsidR="00D226F6" w:rsidRPr="00341882" w:rsidRDefault="00D226F6" w:rsidP="00D226F6">
      <w:pPr>
        <w:pStyle w:val="-"/>
        <w:numPr>
          <w:ilvl w:val="0"/>
          <w:numId w:val="8"/>
        </w:numPr>
        <w:spacing w:before="108" w:after="108"/>
        <w:ind w:firstLineChars="0"/>
      </w:pPr>
      <w:r w:rsidRPr="00341882">
        <w:rPr>
          <w:rFonts w:hint="eastAsia"/>
        </w:rPr>
        <w:t>營改增推進了生產性服務業在中國大陸的發展空間，考量我國較有優勢之營改增範圍內之生產性服務業，建議政府針對研發和技術服務、資訊技術服務、文化創意服務、鑒證諮詢服務等四類優勢服務業，推動有助於其跨境向中國大陸</w:t>
      </w:r>
      <w:r>
        <w:rPr>
          <w:rFonts w:hint="eastAsia"/>
        </w:rPr>
        <w:t>臺</w:t>
      </w:r>
      <w:r w:rsidRPr="00341882">
        <w:rPr>
          <w:rFonts w:hint="eastAsia"/>
        </w:rPr>
        <w:t>商與當地或國際企業提供服務之政策。</w:t>
      </w:r>
    </w:p>
    <w:p w:rsidR="00D226F6" w:rsidRPr="00D05A68" w:rsidRDefault="00D226F6" w:rsidP="00D226F6">
      <w:pPr>
        <w:pStyle w:val="-"/>
        <w:numPr>
          <w:ilvl w:val="0"/>
          <w:numId w:val="8"/>
        </w:numPr>
        <w:spacing w:before="108" w:after="108"/>
        <w:ind w:firstLineChars="0"/>
      </w:pPr>
      <w:r w:rsidRPr="00D05A68">
        <w:rPr>
          <w:rFonts w:hint="eastAsia"/>
        </w:rPr>
        <w:t>面臨中國大陸下游系統整合產業急速的發展，臺灣應建立強而有力的系統整合產業，以支撐自動化上中游產業和需求端的發展。</w:t>
      </w:r>
      <w:r>
        <w:rPr>
          <w:rFonts w:hint="eastAsia"/>
        </w:rPr>
        <w:t>由於其</w:t>
      </w:r>
      <w:r w:rsidRPr="00D05A68">
        <w:rPr>
          <w:rFonts w:hint="eastAsia"/>
        </w:rPr>
        <w:t>自動化下游系統整合（</w:t>
      </w:r>
      <w:r>
        <w:t>SI</w:t>
      </w:r>
      <w:r w:rsidRPr="00D05A68">
        <w:rPr>
          <w:rFonts w:hint="eastAsia"/>
        </w:rPr>
        <w:t>）產業在自動化產業和產業自動化中扮演相當重要的橋樑角色，政府</w:t>
      </w:r>
      <w:r>
        <w:rPr>
          <w:rFonts w:hint="eastAsia"/>
        </w:rPr>
        <w:t>應更加重視，</w:t>
      </w:r>
      <w:r w:rsidRPr="00D05A68">
        <w:rPr>
          <w:rFonts w:hint="eastAsia"/>
        </w:rPr>
        <w:t>一方面</w:t>
      </w:r>
      <w:r>
        <w:rPr>
          <w:rFonts w:hint="eastAsia"/>
        </w:rPr>
        <w:t>應協助</w:t>
      </w:r>
      <w:r w:rsidRPr="00D05A68">
        <w:rPr>
          <w:rFonts w:hint="eastAsia"/>
        </w:rPr>
        <w:t>供給端開拓市場，推廣國產設備應用；另一方面</w:t>
      </w:r>
      <w:r>
        <w:rPr>
          <w:rFonts w:hint="eastAsia"/>
        </w:rPr>
        <w:t>應</w:t>
      </w:r>
      <w:r w:rsidRPr="00D05A68">
        <w:rPr>
          <w:rFonts w:hint="eastAsia"/>
        </w:rPr>
        <w:t>擴大需求端應用場域</w:t>
      </w:r>
      <w:r>
        <w:rPr>
          <w:rFonts w:hint="eastAsia"/>
        </w:rPr>
        <w:t>，</w:t>
      </w:r>
      <w:r w:rsidRPr="00D05A68">
        <w:rPr>
          <w:rFonts w:hint="eastAsia"/>
        </w:rPr>
        <w:t>協助需求者走向更層次的自動化（如資訊自動化、智慧工廠等），而對於自動化程度相對落後產業或製程則可開拓更多應用場域。</w:t>
      </w:r>
    </w:p>
    <w:p w:rsidR="00D226F6" w:rsidRPr="003B1867" w:rsidRDefault="00D226F6" w:rsidP="00D226F6">
      <w:pPr>
        <w:pStyle w:val="3"/>
        <w:spacing w:beforeLines="50" w:before="180" w:after="72"/>
        <w:rPr>
          <w:rFonts w:ascii="Times New Roman" w:hAnsi="Times New Roman"/>
          <w:lang w:eastAsia="zh-TW"/>
        </w:rPr>
      </w:pPr>
      <w:r w:rsidRPr="003B1867">
        <w:rPr>
          <w:rFonts w:ascii="Times New Roman" w:hAnsi="Times New Roman" w:hint="eastAsia"/>
          <w:lang w:eastAsia="zh-TW"/>
        </w:rPr>
        <w:t>叁</w:t>
      </w:r>
      <w:r w:rsidRPr="003B1867">
        <w:rPr>
          <w:rFonts w:ascii="Times New Roman" w:hAnsi="Times New Roman"/>
          <w:lang w:eastAsia="zh-TW"/>
        </w:rPr>
        <w:t>、</w:t>
      </w:r>
      <w:r w:rsidRPr="003B1867">
        <w:rPr>
          <w:rFonts w:ascii="Times New Roman" w:hAnsi="Times New Roman" w:hint="eastAsia"/>
          <w:lang w:eastAsia="zh-TW"/>
        </w:rPr>
        <w:t>關於兩岸政策前瞻</w:t>
      </w:r>
    </w:p>
    <w:p w:rsidR="00D226F6" w:rsidRDefault="00D226F6" w:rsidP="00D226F6">
      <w:pPr>
        <w:pStyle w:val="-"/>
        <w:numPr>
          <w:ilvl w:val="0"/>
          <w:numId w:val="9"/>
        </w:numPr>
        <w:spacing w:before="108" w:after="108"/>
        <w:ind w:firstLineChars="0"/>
      </w:pPr>
      <w:r>
        <w:rPr>
          <w:rFonts w:hint="eastAsia"/>
        </w:rPr>
        <w:t>就</w:t>
      </w:r>
      <w:r w:rsidRPr="00BF7800">
        <w:rPr>
          <w:rFonts w:hint="eastAsia"/>
        </w:rPr>
        <w:t>總體政策規劃</w:t>
      </w:r>
      <w:r>
        <w:rPr>
          <w:rFonts w:hint="eastAsia"/>
        </w:rPr>
        <w:t>層面，首先，就我國政府在試圖掌握中國大陸各項深化改革動向時，應注意上海自貿區的試驗性質，掌握其試驗措施或經驗可能在未來推展至全大陸實施的意涵，以及早判斷其未來相關政策走向並預為因應。其次，</w:t>
      </w:r>
      <w:r w:rsidRPr="00810EA0">
        <w:rPr>
          <w:rFonts w:hint="eastAsia"/>
        </w:rPr>
        <w:t>絲路戰略為中國大陸從裡到外的大戰略，</w:t>
      </w:r>
      <w:r>
        <w:rPr>
          <w:rFonts w:hint="eastAsia"/>
        </w:rPr>
        <w:t>政府應從中探討短中期之機會與風險以及更長期的因應對策；</w:t>
      </w:r>
      <w:r w:rsidRPr="00810EA0">
        <w:rPr>
          <w:rFonts w:hint="eastAsia"/>
        </w:rPr>
        <w:t>透過兩岸談判</w:t>
      </w:r>
      <w:r>
        <w:rPr>
          <w:rFonts w:hint="eastAsia"/>
        </w:rPr>
        <w:t>來獲取機會、降低風險，若能夠找出</w:t>
      </w:r>
      <w:r w:rsidRPr="00810EA0">
        <w:rPr>
          <w:rFonts w:hint="eastAsia"/>
        </w:rPr>
        <w:t>兩岸若一起</w:t>
      </w:r>
      <w:r>
        <w:rPr>
          <w:rFonts w:hint="eastAsia"/>
        </w:rPr>
        <w:t>在</w:t>
      </w:r>
      <w:r w:rsidRPr="00810EA0">
        <w:rPr>
          <w:rFonts w:hint="eastAsia"/>
        </w:rPr>
        <w:t>絲路戰略</w:t>
      </w:r>
      <w:r>
        <w:rPr>
          <w:rFonts w:hint="eastAsia"/>
        </w:rPr>
        <w:t>下</w:t>
      </w:r>
      <w:r w:rsidRPr="00810EA0">
        <w:rPr>
          <w:rFonts w:hint="eastAsia"/>
        </w:rPr>
        <w:t>合作</w:t>
      </w:r>
      <w:r>
        <w:rPr>
          <w:rFonts w:hint="eastAsia"/>
        </w:rPr>
        <w:t>發展之</w:t>
      </w:r>
      <w:r w:rsidRPr="00810EA0">
        <w:rPr>
          <w:rFonts w:hint="eastAsia"/>
        </w:rPr>
        <w:t>共識，</w:t>
      </w:r>
      <w:r>
        <w:rPr>
          <w:rFonts w:hint="eastAsia"/>
        </w:rPr>
        <w:t>有助於進一步拓展兩岸關係以及深化我國參與國際經貿活動之程度</w:t>
      </w:r>
      <w:r w:rsidRPr="00810EA0">
        <w:rPr>
          <w:rFonts w:hint="eastAsia"/>
        </w:rPr>
        <w:t>。</w:t>
      </w:r>
    </w:p>
    <w:p w:rsidR="00D226F6" w:rsidRDefault="00D226F6" w:rsidP="00D226F6">
      <w:pPr>
        <w:pStyle w:val="-"/>
        <w:numPr>
          <w:ilvl w:val="0"/>
          <w:numId w:val="9"/>
        </w:numPr>
        <w:spacing w:before="108" w:after="108"/>
        <w:ind w:firstLineChars="0"/>
      </w:pPr>
      <w:r>
        <w:rPr>
          <w:rFonts w:hint="eastAsia"/>
        </w:rPr>
        <w:t>就</w:t>
      </w:r>
      <w:r w:rsidRPr="00BF7800">
        <w:rPr>
          <w:rFonts w:hint="eastAsia"/>
        </w:rPr>
        <w:t>市場開放及商機</w:t>
      </w:r>
      <w:r>
        <w:rPr>
          <w:rFonts w:hint="eastAsia"/>
        </w:rPr>
        <w:t>層面，首先，海陸絲綢之路戰略初期會以基礎</w:t>
      </w:r>
      <w:r>
        <w:rPr>
          <w:rFonts w:hint="eastAsia"/>
        </w:rPr>
        <w:lastRenderedPageBreak/>
        <w:t>設施為主要可能機會，在中國大陸逐漸向參與</w:t>
      </w:r>
      <w:r>
        <w:t>WTO</w:t>
      </w:r>
      <w:r>
        <w:rPr>
          <w:rFonts w:hint="eastAsia"/>
        </w:rPr>
        <w:t>下之</w:t>
      </w:r>
      <w:r>
        <w:t>GPA</w:t>
      </w:r>
      <w:r>
        <w:rPr>
          <w:rFonts w:hint="eastAsia"/>
        </w:rPr>
        <w:t>調整時，政府應積極探討在部分營造、機電或資訊設備領域之機會，甚至透過各種兩岸平臺來與中國大陸商談合作或是架構更適當的平臺，來協助臺商參與建設之機會。其次，針對新型城鎮化所帶來之機會以及區域發展之重新布局與內涵變動，應納入兩岸後續協商與談判之考量。</w:t>
      </w:r>
    </w:p>
    <w:p w:rsidR="00D226F6" w:rsidRDefault="00D226F6" w:rsidP="00D226F6">
      <w:pPr>
        <w:pStyle w:val="-"/>
        <w:numPr>
          <w:ilvl w:val="0"/>
          <w:numId w:val="9"/>
        </w:numPr>
        <w:spacing w:before="108" w:after="108"/>
        <w:ind w:firstLineChars="0"/>
      </w:pPr>
      <w:r>
        <w:rPr>
          <w:rFonts w:hint="eastAsia"/>
        </w:rPr>
        <w:t>就</w:t>
      </w:r>
      <w:r w:rsidRPr="00BF7800">
        <w:rPr>
          <w:rFonts w:hint="eastAsia"/>
        </w:rPr>
        <w:t>亞太區域整合</w:t>
      </w:r>
      <w:r>
        <w:rPr>
          <w:rFonts w:hint="eastAsia"/>
        </w:rPr>
        <w:t>層面，我國面對國際區域經貿整合的新發展如</w:t>
      </w:r>
      <w:r>
        <w:rPr>
          <w:rFonts w:hint="eastAsia"/>
        </w:rPr>
        <w:t>TPP</w:t>
      </w:r>
      <w:r>
        <w:rPr>
          <w:rFonts w:hint="eastAsia"/>
        </w:rPr>
        <w:t>、</w:t>
      </w:r>
      <w:r>
        <w:rPr>
          <w:rFonts w:hint="eastAsia"/>
        </w:rPr>
        <w:t>RCEP</w:t>
      </w:r>
      <w:r>
        <w:rPr>
          <w:rFonts w:hint="eastAsia"/>
        </w:rPr>
        <w:t>或</w:t>
      </w:r>
      <w:r>
        <w:rPr>
          <w:rFonts w:hint="eastAsia"/>
        </w:rPr>
        <w:t>FTAAP</w:t>
      </w:r>
      <w:r>
        <w:rPr>
          <w:rFonts w:hint="eastAsia"/>
        </w:rPr>
        <w:t>等無論如何都無法避開中國大陸的影響，且其影響力將日益增強，我國應積極利用現有兩岸可對話溝通之平臺與對岸就相關議題進行溝通，以降低我國推進參與國際經貿整合工作中的不確定性。</w:t>
      </w:r>
    </w:p>
    <w:p w:rsidR="00D226F6" w:rsidRDefault="00D226F6" w:rsidP="00D226F6">
      <w:pPr>
        <w:pStyle w:val="-"/>
        <w:numPr>
          <w:ilvl w:val="0"/>
          <w:numId w:val="9"/>
        </w:numPr>
        <w:spacing w:before="108" w:after="108"/>
        <w:ind w:firstLineChars="0"/>
      </w:pPr>
      <w:r>
        <w:rPr>
          <w:rFonts w:hint="eastAsia"/>
        </w:rPr>
        <w:t>就</w:t>
      </w:r>
      <w:r w:rsidRPr="00BF7800">
        <w:rPr>
          <w:rFonts w:hint="eastAsia"/>
        </w:rPr>
        <w:t>因應中國大陸十三五規劃</w:t>
      </w:r>
      <w:r>
        <w:rPr>
          <w:rFonts w:hint="eastAsia"/>
        </w:rPr>
        <w:t>層面，首先，十三五規劃的大方向將是要找出下一波成長的新模式，包括創新研發、綠色生態與產業轉型等都是可能的線索，政府應從這些面向來擬定產業與臺商政策，培育未來我國之產業機會；其次，面對</w:t>
      </w:r>
      <w:r w:rsidRPr="00D05A68">
        <w:rPr>
          <w:rFonts w:hint="eastAsia"/>
        </w:rPr>
        <w:t>中國大陸</w:t>
      </w:r>
      <w:r>
        <w:rPr>
          <w:rFonts w:hint="eastAsia"/>
        </w:rPr>
        <w:t>十三五時期要積極發展</w:t>
      </w:r>
      <w:r w:rsidRPr="00D05A68">
        <w:rPr>
          <w:rFonts w:hint="eastAsia"/>
        </w:rPr>
        <w:t>自動化產業</w:t>
      </w:r>
      <w:r>
        <w:rPr>
          <w:rFonts w:hint="eastAsia"/>
        </w:rPr>
        <w:t>以及擴大其產業自動化市場，</w:t>
      </w:r>
      <w:r w:rsidRPr="00D05A68">
        <w:rPr>
          <w:rFonts w:hint="eastAsia"/>
        </w:rPr>
        <w:t>在兩岸</w:t>
      </w:r>
      <w:r>
        <w:rPr>
          <w:rFonts w:hint="eastAsia"/>
        </w:rPr>
        <w:t>製造</w:t>
      </w:r>
      <w:r w:rsidRPr="00D05A68">
        <w:rPr>
          <w:rFonts w:hint="eastAsia"/>
        </w:rPr>
        <w:t>競合考量下，</w:t>
      </w:r>
      <w:r>
        <w:rPr>
          <w:rFonts w:hint="eastAsia"/>
        </w:rPr>
        <w:t>臺</w:t>
      </w:r>
      <w:r w:rsidRPr="00D05A68">
        <w:rPr>
          <w:rFonts w:hint="eastAsia"/>
        </w:rPr>
        <w:t>灣必須有因應之道</w:t>
      </w:r>
      <w:r>
        <w:rPr>
          <w:rFonts w:hint="eastAsia"/>
        </w:rPr>
        <w:t>；</w:t>
      </w:r>
      <w:r w:rsidRPr="00D05A68">
        <w:rPr>
          <w:rFonts w:hint="eastAsia"/>
        </w:rPr>
        <w:t>結合中國大陸</w:t>
      </w:r>
      <w:r w:rsidR="0035101D">
        <w:rPr>
          <w:rFonts w:hint="eastAsia"/>
        </w:rPr>
        <w:t>部分</w:t>
      </w:r>
      <w:r>
        <w:rPr>
          <w:rFonts w:hint="eastAsia"/>
        </w:rPr>
        <w:t>較</w:t>
      </w:r>
      <w:r w:rsidRPr="00D05A68">
        <w:rPr>
          <w:rFonts w:hint="eastAsia"/>
        </w:rPr>
        <w:t>先進</w:t>
      </w:r>
      <w:r>
        <w:rPr>
          <w:rFonts w:hint="eastAsia"/>
        </w:rPr>
        <w:t>之基礎</w:t>
      </w:r>
      <w:r w:rsidRPr="00D05A68">
        <w:rPr>
          <w:rFonts w:hint="eastAsia"/>
        </w:rPr>
        <w:t>研發能量與臺灣電子資訊的開發能力，兩岸共同推動自動化發展</w:t>
      </w:r>
      <w:r>
        <w:rPr>
          <w:rFonts w:hint="eastAsia"/>
        </w:rPr>
        <w:t>，是可能因應之道</w:t>
      </w:r>
      <w:r w:rsidRPr="00D05A68">
        <w:rPr>
          <w:rFonts w:hint="eastAsia"/>
        </w:rPr>
        <w:t>。</w:t>
      </w:r>
    </w:p>
    <w:p w:rsidR="00D226F6" w:rsidRPr="003B1867" w:rsidRDefault="00D226F6" w:rsidP="00D226F6">
      <w:pPr>
        <w:pStyle w:val="3"/>
        <w:spacing w:beforeLines="50" w:before="180" w:after="72"/>
        <w:rPr>
          <w:rFonts w:ascii="Times New Roman" w:hAnsi="Times New Roman"/>
          <w:lang w:eastAsia="zh-TW"/>
        </w:rPr>
      </w:pPr>
      <w:r>
        <w:rPr>
          <w:rFonts w:ascii="Times New Roman" w:hAnsi="Times New Roman" w:hint="eastAsia"/>
          <w:lang w:eastAsia="zh-TW"/>
        </w:rPr>
        <w:t>肆</w:t>
      </w:r>
      <w:r w:rsidRPr="003B1867">
        <w:rPr>
          <w:rFonts w:ascii="Times New Roman" w:hAnsi="Times New Roman"/>
          <w:lang w:eastAsia="zh-TW"/>
        </w:rPr>
        <w:t>、</w:t>
      </w:r>
      <w:r>
        <w:rPr>
          <w:rFonts w:ascii="Times New Roman" w:hAnsi="Times New Roman" w:hint="eastAsia"/>
          <w:lang w:eastAsia="zh-TW"/>
        </w:rPr>
        <w:t>關於政府未來相關研究議題</w:t>
      </w:r>
    </w:p>
    <w:p w:rsidR="00D226F6" w:rsidRPr="00131FF8" w:rsidRDefault="00D226F6" w:rsidP="00D226F6">
      <w:pPr>
        <w:pStyle w:val="-"/>
        <w:numPr>
          <w:ilvl w:val="0"/>
          <w:numId w:val="9"/>
        </w:numPr>
        <w:spacing w:before="108" w:after="108"/>
        <w:ind w:firstLineChars="0"/>
      </w:pPr>
      <w:r>
        <w:rPr>
          <w:rFonts w:hint="eastAsia"/>
          <w:kern w:val="0"/>
        </w:rPr>
        <w:t>十三五規劃之編製動向：政府相關部門應從十三五規劃之前期研究開始投入資源，鎖定與未來可能推動並對臺灣發展影響較大之項目，進行深入探究與即時追蹤、觀察，並進行深入分析，以提供政府各部門與民間之參考因應。</w:t>
      </w:r>
    </w:p>
    <w:p w:rsidR="00D226F6" w:rsidRPr="00131FF8" w:rsidRDefault="00D226F6" w:rsidP="00D226F6">
      <w:pPr>
        <w:pStyle w:val="-"/>
        <w:numPr>
          <w:ilvl w:val="0"/>
          <w:numId w:val="9"/>
        </w:numPr>
        <w:spacing w:before="108" w:after="108"/>
        <w:ind w:firstLineChars="0"/>
      </w:pPr>
      <w:r>
        <w:rPr>
          <w:rFonts w:hint="eastAsia"/>
          <w:kern w:val="0"/>
        </w:rPr>
        <w:t>新型城鎮化與重點區域發展之後續推動：此兩面向議題相互關連，</w:t>
      </w:r>
      <w:r>
        <w:rPr>
          <w:rFonts w:hint="eastAsia"/>
          <w:kern w:val="0"/>
        </w:rPr>
        <w:lastRenderedPageBreak/>
        <w:t>依據目前主體功能區規劃確立的「兩橫三縱」是城鎮化戰略布局與未來的核心骨架，但「兩橫三縱」可能增加為「三橫三縱」，經濟地理版圖和城鎮化格局又會有新調整，區位發展分布與內涵與內需市場之發展與經營息息相關，對於臺商各行業是很重要的投資參考。</w:t>
      </w:r>
    </w:p>
    <w:p w:rsidR="00D226F6" w:rsidRDefault="00D226F6" w:rsidP="00D226F6">
      <w:pPr>
        <w:pStyle w:val="-"/>
        <w:numPr>
          <w:ilvl w:val="0"/>
          <w:numId w:val="9"/>
        </w:numPr>
        <w:spacing w:before="108" w:after="108"/>
        <w:ind w:firstLineChars="0"/>
      </w:pPr>
      <w:r>
        <w:rPr>
          <w:rFonts w:hint="eastAsia"/>
        </w:rPr>
        <w:t>針對最新區域經貿發展之整合性研究：在中國大陸以絲路戰略擴大國際政經影響力，目前已推出</w:t>
      </w:r>
      <w:r w:rsidRPr="00921A95">
        <w:rPr>
          <w:rFonts w:hint="eastAsia"/>
          <w:kern w:val="0"/>
        </w:rPr>
        <w:t>亞太基礎設施投資銀行與絲路基金兩個策略，我國</w:t>
      </w:r>
      <w:r>
        <w:rPr>
          <w:rFonts w:hint="eastAsia"/>
          <w:kern w:val="0"/>
        </w:rPr>
        <w:t>是否</w:t>
      </w:r>
      <w:r w:rsidRPr="00921A95">
        <w:rPr>
          <w:rFonts w:hint="eastAsia"/>
          <w:kern w:val="0"/>
        </w:rPr>
        <w:t>參與</w:t>
      </w:r>
      <w:r>
        <w:rPr>
          <w:rFonts w:hint="eastAsia"/>
          <w:kern w:val="0"/>
        </w:rPr>
        <w:t>以</w:t>
      </w:r>
      <w:r w:rsidRPr="00921A95">
        <w:rPr>
          <w:rFonts w:hint="eastAsia"/>
          <w:kern w:val="0"/>
        </w:rPr>
        <w:t>及可扮演角色</w:t>
      </w:r>
      <w:r>
        <w:rPr>
          <w:rFonts w:hint="eastAsia"/>
          <w:kern w:val="0"/>
        </w:rPr>
        <w:t>都必須仔細研究評估；同時，</w:t>
      </w:r>
      <w:r w:rsidRPr="00E96A8E">
        <w:rPr>
          <w:rFonts w:hint="eastAsia"/>
          <w:kern w:val="0"/>
        </w:rPr>
        <w:t>F</w:t>
      </w:r>
      <w:r w:rsidR="00E96A8E" w:rsidRPr="00E96A8E">
        <w:rPr>
          <w:kern w:val="0"/>
        </w:rPr>
        <w:t>T</w:t>
      </w:r>
      <w:r w:rsidR="00E96A8E" w:rsidRPr="00E96A8E">
        <w:rPr>
          <w:rFonts w:hint="eastAsia"/>
          <w:kern w:val="0"/>
        </w:rPr>
        <w:t>A</w:t>
      </w:r>
      <w:r w:rsidRPr="00E96A8E">
        <w:rPr>
          <w:kern w:val="0"/>
        </w:rPr>
        <w:t>AP</w:t>
      </w:r>
      <w:r w:rsidRPr="00921A95">
        <w:rPr>
          <w:rFonts w:hint="eastAsia"/>
          <w:kern w:val="0"/>
        </w:rPr>
        <w:t>、</w:t>
      </w:r>
      <w:r w:rsidRPr="00921A95">
        <w:rPr>
          <w:kern w:val="0"/>
        </w:rPr>
        <w:t>RCEP</w:t>
      </w:r>
      <w:r w:rsidRPr="00921A95">
        <w:rPr>
          <w:rFonts w:hint="eastAsia"/>
          <w:kern w:val="0"/>
        </w:rPr>
        <w:t>、</w:t>
      </w:r>
      <w:r w:rsidRPr="00921A95">
        <w:rPr>
          <w:kern w:val="0"/>
        </w:rPr>
        <w:t>TPP</w:t>
      </w:r>
      <w:r>
        <w:rPr>
          <w:rFonts w:hint="eastAsia"/>
          <w:kern w:val="0"/>
        </w:rPr>
        <w:t>等巨型</w:t>
      </w:r>
      <w:r>
        <w:rPr>
          <w:rFonts w:hint="eastAsia"/>
          <w:kern w:val="0"/>
        </w:rPr>
        <w:t>RTA</w:t>
      </w:r>
      <w:r>
        <w:rPr>
          <w:rFonts w:hint="eastAsia"/>
          <w:kern w:val="0"/>
        </w:rPr>
        <w:t>都與兩岸經貿密切相關，亦有必要進行個別與整合</w:t>
      </w:r>
      <w:r w:rsidRPr="00921A95">
        <w:rPr>
          <w:rFonts w:hint="eastAsia"/>
          <w:kern w:val="0"/>
        </w:rPr>
        <w:t>性分析，</w:t>
      </w:r>
      <w:r>
        <w:rPr>
          <w:rFonts w:hint="eastAsia"/>
          <w:kern w:val="0"/>
        </w:rPr>
        <w:t>甚至結合前者做</w:t>
      </w:r>
      <w:r w:rsidRPr="00921A95">
        <w:rPr>
          <w:rFonts w:hint="eastAsia"/>
          <w:kern w:val="0"/>
        </w:rPr>
        <w:t>出整體戰略規劃</w:t>
      </w:r>
      <w:r>
        <w:rPr>
          <w:rFonts w:hint="eastAsia"/>
          <w:kern w:val="0"/>
        </w:rPr>
        <w:t>。</w:t>
      </w:r>
    </w:p>
    <w:p w:rsidR="00D226F6" w:rsidRPr="00131FF8" w:rsidRDefault="00D226F6" w:rsidP="00D226F6">
      <w:pPr>
        <w:pStyle w:val="-"/>
        <w:numPr>
          <w:ilvl w:val="0"/>
          <w:numId w:val="9"/>
        </w:numPr>
        <w:spacing w:before="108" w:after="108"/>
        <w:ind w:firstLineChars="0"/>
      </w:pPr>
      <w:r>
        <w:rPr>
          <w:rFonts w:hint="eastAsia"/>
          <w:kern w:val="0"/>
        </w:rPr>
        <w:t>我國智慧自動化產業系統政策：在全球產業趨勢與中國大陸政策變化下，我國製造業發展將更受智動化發展之影響，政府應就我國系統如何與美國「先進製造」、德國「工業</w:t>
      </w:r>
      <w:r>
        <w:rPr>
          <w:kern w:val="0"/>
        </w:rPr>
        <w:t>4.0</w:t>
      </w:r>
      <w:r>
        <w:rPr>
          <w:rFonts w:hint="eastAsia"/>
          <w:kern w:val="0"/>
        </w:rPr>
        <w:t>」及日本「未來工廠」進行整合或連結，進行系統性研究，或針對如何升級我國「智慧自動化產業系統」、「生產力</w:t>
      </w:r>
      <w:r>
        <w:rPr>
          <w:kern w:val="0"/>
        </w:rPr>
        <w:t>4.0</w:t>
      </w:r>
      <w:r>
        <w:rPr>
          <w:rFonts w:hint="eastAsia"/>
          <w:kern w:val="0"/>
        </w:rPr>
        <w:t>」系統進行研究，以因應這些趨勢變化。</w:t>
      </w:r>
    </w:p>
    <w:p w:rsidR="002679C2" w:rsidRPr="00D226F6" w:rsidRDefault="002679C2" w:rsidP="00C5664D">
      <w:pPr>
        <w:pStyle w:val="-"/>
        <w:spacing w:before="108" w:after="108"/>
        <w:ind w:firstLine="520"/>
      </w:pPr>
    </w:p>
    <w:p w:rsidR="002679C2" w:rsidRPr="003506F9" w:rsidRDefault="002679C2" w:rsidP="00C5664D">
      <w:pPr>
        <w:pStyle w:val="-"/>
        <w:spacing w:before="108" w:after="108"/>
        <w:ind w:firstLine="520"/>
        <w:sectPr w:rsidR="002679C2" w:rsidRPr="003506F9" w:rsidSect="00510EC9">
          <w:type w:val="oddPage"/>
          <w:pgSz w:w="11906" w:h="16838"/>
          <w:pgMar w:top="1440" w:right="1800" w:bottom="1440" w:left="1800" w:header="851" w:footer="992" w:gutter="0"/>
          <w:cols w:space="425"/>
          <w:docGrid w:type="lines" w:linePitch="360"/>
        </w:sectPr>
      </w:pPr>
    </w:p>
    <w:p w:rsidR="00D955B5" w:rsidRPr="009F2A4B" w:rsidRDefault="00D955B5" w:rsidP="00D955B5">
      <w:pPr>
        <w:pStyle w:val="1"/>
      </w:pPr>
      <w:bookmarkStart w:id="80" w:name="_Toc389203201"/>
      <w:bookmarkStart w:id="81" w:name="_Toc391915467"/>
      <w:bookmarkStart w:id="82" w:name="_Toc405462604"/>
      <w:r w:rsidRPr="009F2A4B">
        <w:lastRenderedPageBreak/>
        <w:t>參考文獻</w:t>
      </w:r>
      <w:bookmarkEnd w:id="80"/>
      <w:bookmarkEnd w:id="81"/>
      <w:bookmarkEnd w:id="82"/>
    </w:p>
    <w:p w:rsidR="00D955B5" w:rsidRDefault="00D955B5" w:rsidP="00D955B5">
      <w:pPr>
        <w:pStyle w:val="-"/>
        <w:numPr>
          <w:ilvl w:val="0"/>
          <w:numId w:val="7"/>
        </w:numPr>
        <w:spacing w:before="108" w:after="108"/>
        <w:ind w:firstLineChars="0"/>
      </w:pPr>
      <w:r>
        <w:rPr>
          <w:rFonts w:hint="eastAsia"/>
        </w:rPr>
        <w:t>21</w:t>
      </w:r>
      <w:r>
        <w:rPr>
          <w:rFonts w:hint="eastAsia"/>
        </w:rPr>
        <w:t>世紀網，「孟中印緬經濟走廊重在共建轉變單向戰略」，</w:t>
      </w:r>
      <w:r>
        <w:rPr>
          <w:rFonts w:hint="eastAsia"/>
        </w:rPr>
        <w:t>2014</w:t>
      </w:r>
      <w:r>
        <w:rPr>
          <w:rFonts w:hint="eastAsia"/>
        </w:rPr>
        <w:t>年</w:t>
      </w:r>
      <w:r>
        <w:rPr>
          <w:rFonts w:hint="eastAsia"/>
        </w:rPr>
        <w:t>3</w:t>
      </w:r>
      <w:r>
        <w:rPr>
          <w:rFonts w:hint="eastAsia"/>
        </w:rPr>
        <w:t>月</w:t>
      </w:r>
      <w:r>
        <w:rPr>
          <w:rFonts w:hint="eastAsia"/>
        </w:rPr>
        <w:t>19</w:t>
      </w:r>
      <w:r>
        <w:rPr>
          <w:rFonts w:hint="eastAsia"/>
        </w:rPr>
        <w:t>日。</w:t>
      </w:r>
    </w:p>
    <w:p w:rsidR="00D955B5" w:rsidRDefault="00D955B5" w:rsidP="00D955B5">
      <w:pPr>
        <w:pStyle w:val="-"/>
        <w:numPr>
          <w:ilvl w:val="0"/>
          <w:numId w:val="7"/>
        </w:numPr>
        <w:spacing w:before="108" w:after="108"/>
        <w:ind w:firstLineChars="0"/>
      </w:pPr>
      <w:r w:rsidRPr="003317B6">
        <w:rPr>
          <w:rFonts w:hint="eastAsia"/>
        </w:rPr>
        <w:t>21</w:t>
      </w:r>
      <w:r w:rsidRPr="003317B6">
        <w:rPr>
          <w:rFonts w:hint="eastAsia"/>
        </w:rPr>
        <w:t>世紀網</w:t>
      </w:r>
      <w:r>
        <w:rPr>
          <w:rFonts w:hint="eastAsia"/>
        </w:rPr>
        <w:t>，「</w:t>
      </w:r>
      <w:r w:rsidRPr="003317B6">
        <w:rPr>
          <w:rFonts w:hint="eastAsia"/>
        </w:rPr>
        <w:t>沿海</w:t>
      </w:r>
      <w:r w:rsidRPr="003317B6">
        <w:rPr>
          <w:rFonts w:hint="eastAsia"/>
        </w:rPr>
        <w:t>+</w:t>
      </w:r>
      <w:r w:rsidRPr="003317B6">
        <w:rPr>
          <w:rFonts w:hint="eastAsia"/>
        </w:rPr>
        <w:t>內陸</w:t>
      </w:r>
      <w:r w:rsidRPr="003317B6">
        <w:rPr>
          <w:rFonts w:hint="eastAsia"/>
        </w:rPr>
        <w:t>+</w:t>
      </w:r>
      <w:r>
        <w:rPr>
          <w:rFonts w:hint="eastAsia"/>
        </w:rPr>
        <w:t>沿邊</w:t>
      </w:r>
      <w:r w:rsidRPr="003317B6">
        <w:rPr>
          <w:rFonts w:hint="eastAsia"/>
        </w:rPr>
        <w:t>：中國開放新格局</w:t>
      </w:r>
      <w:r>
        <w:rPr>
          <w:rFonts w:hint="eastAsia"/>
        </w:rPr>
        <w:t>」，</w:t>
      </w:r>
      <w:r>
        <w:rPr>
          <w:rFonts w:hint="eastAsia"/>
        </w:rPr>
        <w:t>2013</w:t>
      </w:r>
      <w:r>
        <w:rPr>
          <w:rFonts w:hint="eastAsia"/>
        </w:rPr>
        <w:t>年</w:t>
      </w:r>
      <w:r>
        <w:rPr>
          <w:rFonts w:hint="eastAsia"/>
        </w:rPr>
        <w:t>12</w:t>
      </w:r>
      <w:r>
        <w:rPr>
          <w:rFonts w:hint="eastAsia"/>
        </w:rPr>
        <w:t>月</w:t>
      </w:r>
      <w:r>
        <w:rPr>
          <w:rFonts w:hint="eastAsia"/>
        </w:rPr>
        <w:t>27</w:t>
      </w:r>
      <w:r>
        <w:rPr>
          <w:rFonts w:hint="eastAsia"/>
        </w:rPr>
        <w:t>日。</w:t>
      </w:r>
    </w:p>
    <w:p w:rsidR="00D955B5" w:rsidRPr="00037056" w:rsidRDefault="00D955B5" w:rsidP="00D955B5">
      <w:pPr>
        <w:pStyle w:val="-"/>
        <w:numPr>
          <w:ilvl w:val="0"/>
          <w:numId w:val="7"/>
        </w:numPr>
        <w:spacing w:before="108" w:after="108"/>
        <w:ind w:firstLineChars="0"/>
      </w:pPr>
      <w:r w:rsidRPr="003317B6">
        <w:rPr>
          <w:rFonts w:hint="eastAsia"/>
        </w:rPr>
        <w:t>21</w:t>
      </w:r>
      <w:r w:rsidRPr="003317B6">
        <w:rPr>
          <w:rFonts w:hint="eastAsia"/>
        </w:rPr>
        <w:t>世紀網</w:t>
      </w:r>
      <w:r>
        <w:rPr>
          <w:rFonts w:hint="eastAsia"/>
        </w:rPr>
        <w:t>，「</w:t>
      </w:r>
      <w:r w:rsidRPr="003317B6">
        <w:rPr>
          <w:rFonts w:hint="eastAsia"/>
        </w:rPr>
        <w:t>絲綢之路南線開始構建孟中印緬經濟走廊成國家戰略</w:t>
      </w:r>
      <w:r>
        <w:rPr>
          <w:rFonts w:hint="eastAsia"/>
        </w:rPr>
        <w:t>」，</w:t>
      </w:r>
      <w:r>
        <w:rPr>
          <w:rFonts w:hint="eastAsia"/>
        </w:rPr>
        <w:t>2013</w:t>
      </w:r>
      <w:r>
        <w:rPr>
          <w:rFonts w:hint="eastAsia"/>
        </w:rPr>
        <w:t>年</w:t>
      </w:r>
      <w:r>
        <w:rPr>
          <w:rFonts w:hint="eastAsia"/>
        </w:rPr>
        <w:t>12</w:t>
      </w:r>
      <w:r>
        <w:rPr>
          <w:rFonts w:hint="eastAsia"/>
        </w:rPr>
        <w:t>月</w:t>
      </w:r>
      <w:r>
        <w:rPr>
          <w:rFonts w:hint="eastAsia"/>
        </w:rPr>
        <w:t>25</w:t>
      </w:r>
      <w:r>
        <w:rPr>
          <w:rFonts w:hint="eastAsia"/>
        </w:rPr>
        <w:t>日。</w:t>
      </w:r>
    </w:p>
    <w:p w:rsidR="00D955B5" w:rsidRDefault="00D955B5" w:rsidP="00D955B5">
      <w:pPr>
        <w:pStyle w:val="-"/>
        <w:numPr>
          <w:ilvl w:val="0"/>
          <w:numId w:val="7"/>
        </w:numPr>
        <w:spacing w:before="108" w:after="108"/>
        <w:ind w:firstLineChars="0"/>
      </w:pPr>
      <w:r>
        <w:rPr>
          <w:rFonts w:hint="eastAsia"/>
        </w:rPr>
        <w:t>BBC</w:t>
      </w:r>
      <w:r>
        <w:rPr>
          <w:rFonts w:hint="eastAsia"/>
        </w:rPr>
        <w:t>中文網，「</w:t>
      </w:r>
      <w:r w:rsidRPr="00C371A1">
        <w:rPr>
          <w:rFonts w:hint="eastAsia"/>
        </w:rPr>
        <w:t>上海自貿區一週年：突破不多</w:t>
      </w:r>
      <w:r w:rsidRPr="00C371A1">
        <w:rPr>
          <w:rFonts w:hint="eastAsia"/>
        </w:rPr>
        <w:t xml:space="preserve"> </w:t>
      </w:r>
      <w:r w:rsidRPr="00C371A1">
        <w:rPr>
          <w:rFonts w:hint="eastAsia"/>
        </w:rPr>
        <w:t>教訓難得</w:t>
      </w:r>
      <w:r>
        <w:rPr>
          <w:rFonts w:hint="eastAsia"/>
        </w:rPr>
        <w:t>」，</w:t>
      </w:r>
      <w:r>
        <w:rPr>
          <w:rFonts w:hint="eastAsia"/>
        </w:rPr>
        <w:t>2014</w:t>
      </w:r>
      <w:r>
        <w:rPr>
          <w:rFonts w:hint="eastAsia"/>
        </w:rPr>
        <w:t>年</w:t>
      </w:r>
      <w:r>
        <w:rPr>
          <w:rFonts w:hint="eastAsia"/>
        </w:rPr>
        <w:t>9</w:t>
      </w:r>
      <w:r>
        <w:rPr>
          <w:rFonts w:hint="eastAsia"/>
        </w:rPr>
        <w:t>月</w:t>
      </w:r>
      <w:r>
        <w:rPr>
          <w:rFonts w:hint="eastAsia"/>
        </w:rPr>
        <w:t>30</w:t>
      </w:r>
      <w:r>
        <w:rPr>
          <w:rFonts w:hint="eastAsia"/>
        </w:rPr>
        <w:t>日。</w:t>
      </w:r>
    </w:p>
    <w:p w:rsidR="00D955B5" w:rsidRDefault="00D955B5" w:rsidP="00D955B5">
      <w:pPr>
        <w:pStyle w:val="-"/>
        <w:numPr>
          <w:ilvl w:val="0"/>
          <w:numId w:val="7"/>
        </w:numPr>
        <w:spacing w:before="108" w:after="108"/>
        <w:ind w:firstLineChars="0"/>
      </w:pPr>
      <w:r>
        <w:rPr>
          <w:rFonts w:hint="eastAsia"/>
        </w:rPr>
        <w:t>CTIMES</w:t>
      </w:r>
      <w:r>
        <w:rPr>
          <w:rFonts w:hint="eastAsia"/>
        </w:rPr>
        <w:t>，「第三波工業革命智慧工廠」，</w:t>
      </w:r>
      <w:r>
        <w:rPr>
          <w:rFonts w:hint="eastAsia"/>
        </w:rPr>
        <w:t>2014</w:t>
      </w:r>
      <w:r>
        <w:rPr>
          <w:rFonts w:hint="eastAsia"/>
        </w:rPr>
        <w:t>年</w:t>
      </w:r>
      <w:r>
        <w:rPr>
          <w:rFonts w:hint="eastAsia"/>
        </w:rPr>
        <w:t>9</w:t>
      </w:r>
      <w:r>
        <w:rPr>
          <w:rFonts w:hint="eastAsia"/>
        </w:rPr>
        <w:t>月</w:t>
      </w:r>
      <w:r>
        <w:rPr>
          <w:rFonts w:hint="eastAsia"/>
        </w:rPr>
        <w:t>12</w:t>
      </w:r>
      <w:r>
        <w:rPr>
          <w:rFonts w:hint="eastAsia"/>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w:t>
      </w:r>
      <w:r w:rsidRPr="0002396D">
        <w:rPr>
          <w:rFonts w:hint="eastAsia"/>
          <w:caps/>
        </w:rPr>
        <w:t>2014</w:t>
      </w:r>
      <w:r w:rsidRPr="0002396D">
        <w:rPr>
          <w:rFonts w:hint="eastAsia"/>
          <w:caps/>
        </w:rPr>
        <w:t>年中國為全球最大工業機器人市場」，</w:t>
      </w:r>
      <w:r w:rsidRPr="0002396D">
        <w:rPr>
          <w:rFonts w:hint="eastAsia"/>
          <w:caps/>
        </w:rPr>
        <w:t>2013</w:t>
      </w:r>
      <w:r w:rsidRPr="0002396D">
        <w:rPr>
          <w:rFonts w:hint="eastAsia"/>
          <w:caps/>
        </w:rPr>
        <w:t>年</w:t>
      </w:r>
      <w:r w:rsidRPr="0002396D">
        <w:rPr>
          <w:rFonts w:hint="eastAsia"/>
          <w:caps/>
        </w:rPr>
        <w:t>5</w:t>
      </w:r>
      <w:r w:rsidRPr="0002396D">
        <w:rPr>
          <w:rFonts w:hint="eastAsia"/>
          <w:caps/>
        </w:rPr>
        <w:t>月</w:t>
      </w:r>
      <w:r w:rsidRPr="0002396D">
        <w:rPr>
          <w:rFonts w:hint="eastAsia"/>
          <w:caps/>
        </w:rPr>
        <w:t>27</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w:t>
      </w:r>
      <w:r w:rsidRPr="0002396D">
        <w:rPr>
          <w:rFonts w:hint="eastAsia"/>
          <w:caps/>
        </w:rPr>
        <w:t>ABB</w:t>
      </w:r>
      <w:r w:rsidRPr="0002396D">
        <w:rPr>
          <w:rFonts w:hint="eastAsia"/>
          <w:caps/>
        </w:rPr>
        <w:t>推智慧工廠網路連結，號稱帶來新工業革命」，</w:t>
      </w:r>
      <w:r w:rsidRPr="0002396D">
        <w:rPr>
          <w:rFonts w:hint="eastAsia"/>
          <w:caps/>
        </w:rPr>
        <w:t>2014</w:t>
      </w:r>
      <w:r w:rsidRPr="0002396D">
        <w:rPr>
          <w:rFonts w:hint="eastAsia"/>
          <w:caps/>
        </w:rPr>
        <w:t>年</w:t>
      </w:r>
      <w:r w:rsidRPr="0002396D">
        <w:rPr>
          <w:rFonts w:hint="eastAsia"/>
          <w:caps/>
        </w:rPr>
        <w:t>9</w:t>
      </w:r>
      <w:r w:rsidRPr="0002396D">
        <w:rPr>
          <w:rFonts w:hint="eastAsia"/>
          <w:caps/>
        </w:rPr>
        <w:t>月</w:t>
      </w:r>
      <w:r w:rsidRPr="0002396D">
        <w:rPr>
          <w:rFonts w:hint="eastAsia"/>
          <w:caps/>
        </w:rPr>
        <w:t>25</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，「大陸</w:t>
      </w:r>
      <w:r w:rsidRPr="0002396D">
        <w:rPr>
          <w:rFonts w:hint="eastAsia"/>
          <w:caps/>
        </w:rPr>
        <w:t>500</w:t>
      </w:r>
      <w:r w:rsidRPr="0002396D">
        <w:rPr>
          <w:rFonts w:hint="eastAsia"/>
          <w:caps/>
        </w:rPr>
        <w:t>億美元投行計畫，獨漏美日印」，</w:t>
      </w:r>
      <w:r w:rsidRPr="0002396D">
        <w:rPr>
          <w:rFonts w:hint="eastAsia"/>
          <w:caps/>
        </w:rPr>
        <w:t>2014</w:t>
      </w:r>
      <w:r w:rsidRPr="0002396D">
        <w:rPr>
          <w:rFonts w:hint="eastAsia"/>
          <w:caps/>
        </w:rPr>
        <w:t>年</w:t>
      </w:r>
      <w:r w:rsidRPr="0002396D">
        <w:rPr>
          <w:rFonts w:hint="eastAsia"/>
          <w:caps/>
        </w:rPr>
        <w:t>5</w:t>
      </w:r>
      <w:r w:rsidRPr="0002396D">
        <w:rPr>
          <w:rFonts w:hint="eastAsia"/>
          <w:caps/>
        </w:rPr>
        <w:t>月</w:t>
      </w:r>
      <w:r w:rsidRPr="0002396D">
        <w:rPr>
          <w:rFonts w:hint="eastAsia"/>
          <w:caps/>
        </w:rPr>
        <w:t>13</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，「大陸中央應解除控管　放手讓城市自由發展」，</w:t>
      </w:r>
      <w:r w:rsidRPr="0002396D">
        <w:rPr>
          <w:rFonts w:hint="eastAsia"/>
          <w:caps/>
        </w:rPr>
        <w:t>2014</w:t>
      </w:r>
      <w:r w:rsidRPr="0002396D">
        <w:rPr>
          <w:rFonts w:hint="eastAsia"/>
          <w:caps/>
        </w:rPr>
        <w:t>年</w:t>
      </w:r>
      <w:r w:rsidRPr="0002396D">
        <w:rPr>
          <w:rFonts w:hint="eastAsia"/>
          <w:caps/>
        </w:rPr>
        <w:t>4</w:t>
      </w:r>
      <w:r w:rsidRPr="0002396D">
        <w:rPr>
          <w:rFonts w:hint="eastAsia"/>
          <w:caps/>
        </w:rPr>
        <w:t>月</w:t>
      </w:r>
      <w:r w:rsidRPr="0002396D">
        <w:rPr>
          <w:rFonts w:hint="eastAsia"/>
          <w:caps/>
        </w:rPr>
        <w:t>23</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，「大陸中央應解除控管，放手讓城市自由發展」，</w:t>
      </w:r>
      <w:r w:rsidRPr="0002396D">
        <w:rPr>
          <w:rFonts w:hint="eastAsia"/>
          <w:caps/>
        </w:rPr>
        <w:t>2014</w:t>
      </w:r>
      <w:r w:rsidRPr="0002396D">
        <w:rPr>
          <w:rFonts w:hint="eastAsia"/>
          <w:caps/>
        </w:rPr>
        <w:t>年</w:t>
      </w:r>
      <w:r w:rsidRPr="0002396D">
        <w:rPr>
          <w:rFonts w:hint="eastAsia"/>
          <w:caps/>
        </w:rPr>
        <w:t>4</w:t>
      </w:r>
      <w:r w:rsidRPr="0002396D">
        <w:rPr>
          <w:rFonts w:hint="eastAsia"/>
          <w:caps/>
        </w:rPr>
        <w:t>月</w:t>
      </w:r>
      <w:r w:rsidRPr="0002396D">
        <w:rPr>
          <w:rFonts w:hint="eastAsia"/>
          <w:caps/>
        </w:rPr>
        <w:t>23</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，「大陸告別中央計畫經濟，放棄傳統成長數字目標」，</w:t>
      </w:r>
      <w:r w:rsidRPr="0002396D">
        <w:rPr>
          <w:rFonts w:hint="eastAsia"/>
          <w:caps/>
        </w:rPr>
        <w:t>2014</w:t>
      </w:r>
      <w:r w:rsidRPr="0002396D">
        <w:rPr>
          <w:rFonts w:hint="eastAsia"/>
          <w:caps/>
        </w:rPr>
        <w:t>年</w:t>
      </w:r>
      <w:r w:rsidRPr="0002396D">
        <w:rPr>
          <w:rFonts w:hint="eastAsia"/>
          <w:caps/>
        </w:rPr>
        <w:t>4</w:t>
      </w:r>
      <w:r w:rsidRPr="0002396D">
        <w:rPr>
          <w:rFonts w:hint="eastAsia"/>
          <w:caps/>
        </w:rPr>
        <w:t>月</w:t>
      </w:r>
      <w:r w:rsidRPr="0002396D">
        <w:rPr>
          <w:rFonts w:hint="eastAsia"/>
          <w:caps/>
        </w:rPr>
        <w:t>9</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，「大陸防灌水，嚴審地方</w:t>
      </w:r>
      <w:r w:rsidRPr="0002396D">
        <w:rPr>
          <w:rFonts w:hint="eastAsia"/>
          <w:caps/>
        </w:rPr>
        <w:t>GDP</w:t>
      </w:r>
      <w:r w:rsidRPr="0002396D">
        <w:rPr>
          <w:rFonts w:hint="eastAsia"/>
          <w:caps/>
        </w:rPr>
        <w:t>」，</w:t>
      </w:r>
      <w:r w:rsidRPr="0002396D">
        <w:rPr>
          <w:rFonts w:hint="eastAsia"/>
          <w:caps/>
        </w:rPr>
        <w:t>2014</w:t>
      </w:r>
      <w:r w:rsidRPr="0002396D">
        <w:rPr>
          <w:rFonts w:hint="eastAsia"/>
          <w:caps/>
        </w:rPr>
        <w:t>年</w:t>
      </w:r>
      <w:r w:rsidRPr="0002396D">
        <w:rPr>
          <w:rFonts w:hint="eastAsia"/>
          <w:caps/>
        </w:rPr>
        <w:t>4</w:t>
      </w:r>
      <w:r w:rsidRPr="0002396D">
        <w:rPr>
          <w:rFonts w:hint="eastAsia"/>
          <w:caps/>
        </w:rPr>
        <w:t>月</w:t>
      </w:r>
      <w:r w:rsidRPr="0002396D">
        <w:rPr>
          <w:rFonts w:hint="eastAsia"/>
          <w:caps/>
        </w:rPr>
        <w:t>24</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lastRenderedPageBreak/>
        <w:t>Digitimes</w:t>
      </w:r>
      <w:r w:rsidRPr="0002396D">
        <w:rPr>
          <w:rFonts w:hint="eastAsia"/>
          <w:caps/>
        </w:rPr>
        <w:t>，「大陸經濟結構拚轉型，以</w:t>
      </w:r>
      <w:r w:rsidRPr="0002396D">
        <w:rPr>
          <w:rFonts w:hint="eastAsia"/>
          <w:caps/>
        </w:rPr>
        <w:t>GDP</w:t>
      </w:r>
      <w:r w:rsidRPr="0002396D">
        <w:rPr>
          <w:rFonts w:hint="eastAsia"/>
          <w:caps/>
        </w:rPr>
        <w:t>衡量發展時代已過」，</w:t>
      </w:r>
      <w:r w:rsidRPr="0002396D">
        <w:rPr>
          <w:rFonts w:hint="eastAsia"/>
          <w:caps/>
        </w:rPr>
        <w:t>2014</w:t>
      </w:r>
      <w:r w:rsidRPr="0002396D">
        <w:rPr>
          <w:rFonts w:hint="eastAsia"/>
          <w:caps/>
        </w:rPr>
        <w:t>年</w:t>
      </w:r>
      <w:r w:rsidRPr="0002396D">
        <w:rPr>
          <w:rFonts w:hint="eastAsia"/>
          <w:caps/>
        </w:rPr>
        <w:t>4</w:t>
      </w:r>
      <w:r w:rsidRPr="0002396D">
        <w:rPr>
          <w:rFonts w:hint="eastAsia"/>
          <w:caps/>
        </w:rPr>
        <w:t>月</w:t>
      </w:r>
      <w:r w:rsidRPr="0002396D">
        <w:rPr>
          <w:rFonts w:hint="eastAsia"/>
          <w:caps/>
        </w:rPr>
        <w:t>2</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，「大陸機器人產業何去何從，瀋陽新松企業提供借鏡」，</w:t>
      </w:r>
      <w:r w:rsidRPr="0002396D">
        <w:rPr>
          <w:rFonts w:hint="eastAsia"/>
          <w:caps/>
        </w:rPr>
        <w:t>2014</w:t>
      </w:r>
      <w:r w:rsidRPr="0002396D">
        <w:rPr>
          <w:rFonts w:hint="eastAsia"/>
          <w:caps/>
        </w:rPr>
        <w:t>年</w:t>
      </w:r>
      <w:r w:rsidRPr="0002396D">
        <w:rPr>
          <w:rFonts w:hint="eastAsia"/>
          <w:caps/>
        </w:rPr>
        <w:t>6</w:t>
      </w:r>
      <w:r w:rsidRPr="0002396D">
        <w:rPr>
          <w:rFonts w:hint="eastAsia"/>
          <w:caps/>
        </w:rPr>
        <w:t>月</w:t>
      </w:r>
      <w:r w:rsidRPr="0002396D">
        <w:rPr>
          <w:rFonts w:hint="eastAsia"/>
          <w:caps/>
        </w:rPr>
        <w:t>23</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，「工業自動化機器人，</w:t>
      </w:r>
      <w:r>
        <w:rPr>
          <w:rFonts w:hint="eastAsia"/>
          <w:caps/>
        </w:rPr>
        <w:t>臺</w:t>
      </w:r>
      <w:r w:rsidRPr="0002396D">
        <w:rPr>
          <w:rFonts w:hint="eastAsia"/>
          <w:caps/>
        </w:rPr>
        <w:t>廠商機可期」，</w:t>
      </w:r>
      <w:r w:rsidRPr="0002396D">
        <w:rPr>
          <w:rFonts w:hint="eastAsia"/>
          <w:caps/>
        </w:rPr>
        <w:t>2014</w:t>
      </w:r>
      <w:r w:rsidRPr="0002396D">
        <w:rPr>
          <w:rFonts w:hint="eastAsia"/>
          <w:caps/>
        </w:rPr>
        <w:t>年</w:t>
      </w:r>
      <w:r w:rsidRPr="0002396D">
        <w:rPr>
          <w:rFonts w:hint="eastAsia"/>
          <w:caps/>
        </w:rPr>
        <w:t>7</w:t>
      </w:r>
      <w:r w:rsidRPr="0002396D">
        <w:rPr>
          <w:rFonts w:hint="eastAsia"/>
          <w:caps/>
        </w:rPr>
        <w:t>月</w:t>
      </w:r>
      <w:r w:rsidRPr="0002396D">
        <w:rPr>
          <w:rFonts w:hint="eastAsia"/>
          <w:caps/>
        </w:rPr>
        <w:t>26</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，「陸廠投資機器人上游零組件，急於跨越技術障礙」，</w:t>
      </w:r>
      <w:r w:rsidRPr="0002396D">
        <w:rPr>
          <w:rFonts w:hint="eastAsia"/>
          <w:caps/>
        </w:rPr>
        <w:t>2014</w:t>
      </w:r>
      <w:r w:rsidRPr="0002396D">
        <w:rPr>
          <w:rFonts w:hint="eastAsia"/>
          <w:caps/>
        </w:rPr>
        <w:t>年</w:t>
      </w:r>
      <w:r w:rsidRPr="0002396D">
        <w:rPr>
          <w:rFonts w:hint="eastAsia"/>
          <w:caps/>
        </w:rPr>
        <w:t>6</w:t>
      </w:r>
      <w:r w:rsidRPr="0002396D">
        <w:rPr>
          <w:rFonts w:hint="eastAsia"/>
          <w:caps/>
        </w:rPr>
        <w:t>月</w:t>
      </w:r>
      <w:r w:rsidRPr="0002396D">
        <w:rPr>
          <w:rFonts w:hint="eastAsia"/>
          <w:caps/>
        </w:rPr>
        <w:t>23</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，「臺灣食品產業發展協會攜甲骨文推動產業升級」，</w:t>
      </w:r>
      <w:r w:rsidRPr="0002396D">
        <w:rPr>
          <w:rFonts w:hint="eastAsia"/>
          <w:caps/>
        </w:rPr>
        <w:t>2014</w:t>
      </w:r>
      <w:r w:rsidRPr="0002396D">
        <w:rPr>
          <w:rFonts w:hint="eastAsia"/>
          <w:caps/>
        </w:rPr>
        <w:t>年</w:t>
      </w:r>
      <w:r w:rsidRPr="0002396D">
        <w:rPr>
          <w:rFonts w:hint="eastAsia"/>
          <w:caps/>
        </w:rPr>
        <w:t>5</w:t>
      </w:r>
      <w:r w:rsidRPr="0002396D">
        <w:rPr>
          <w:rFonts w:hint="eastAsia"/>
          <w:caps/>
        </w:rPr>
        <w:t>月</w:t>
      </w:r>
      <w:r w:rsidRPr="0002396D">
        <w:rPr>
          <w:rFonts w:hint="eastAsia"/>
          <w:caps/>
        </w:rPr>
        <w:t>2</w:t>
      </w:r>
      <w:r w:rsidRPr="0002396D">
        <w:rPr>
          <w:rFonts w:hint="eastAsia"/>
          <w:caps/>
        </w:rPr>
        <w:t>日。</w:t>
      </w:r>
    </w:p>
    <w:p w:rsidR="00D955B5" w:rsidRPr="0002396D" w:rsidRDefault="00D955B5" w:rsidP="00D955B5">
      <w:pPr>
        <w:pStyle w:val="-"/>
        <w:numPr>
          <w:ilvl w:val="0"/>
          <w:numId w:val="7"/>
        </w:numPr>
        <w:spacing w:before="108" w:after="108"/>
        <w:ind w:firstLineChars="0"/>
        <w:rPr>
          <w:caps/>
        </w:rPr>
      </w:pPr>
      <w:r w:rsidRPr="0002396D">
        <w:rPr>
          <w:rFonts w:hint="eastAsia"/>
          <w:caps/>
        </w:rPr>
        <w:t>Digitimes</w:t>
      </w:r>
      <w:r w:rsidRPr="0002396D">
        <w:rPr>
          <w:rFonts w:hint="eastAsia"/>
          <w:caps/>
        </w:rPr>
        <w:t>，「製造業智動化與機器人應用」，</w:t>
      </w:r>
      <w:r w:rsidRPr="0002396D">
        <w:rPr>
          <w:rFonts w:hint="eastAsia"/>
          <w:caps/>
        </w:rPr>
        <w:t>2013</w:t>
      </w:r>
      <w:r w:rsidRPr="0002396D">
        <w:rPr>
          <w:rFonts w:hint="eastAsia"/>
          <w:caps/>
        </w:rPr>
        <w:t>年</w:t>
      </w:r>
      <w:r w:rsidRPr="0002396D">
        <w:rPr>
          <w:rFonts w:hint="eastAsia"/>
          <w:caps/>
        </w:rPr>
        <w:t>7</w:t>
      </w:r>
      <w:r w:rsidRPr="0002396D">
        <w:rPr>
          <w:rFonts w:hint="eastAsia"/>
          <w:caps/>
        </w:rPr>
        <w:t>月</w:t>
      </w:r>
      <w:r w:rsidRPr="0002396D">
        <w:rPr>
          <w:rFonts w:hint="eastAsia"/>
          <w:caps/>
        </w:rPr>
        <w:t>29</w:t>
      </w:r>
      <w:r w:rsidRPr="0002396D">
        <w:rPr>
          <w:rFonts w:hint="eastAsia"/>
          <w:caps/>
        </w:rPr>
        <w:t>日。</w:t>
      </w:r>
    </w:p>
    <w:p w:rsidR="00D955B5" w:rsidRDefault="00D955B5" w:rsidP="00D955B5">
      <w:pPr>
        <w:pStyle w:val="-"/>
        <w:numPr>
          <w:ilvl w:val="0"/>
          <w:numId w:val="7"/>
        </w:numPr>
        <w:spacing w:before="108" w:after="108"/>
        <w:ind w:firstLineChars="0"/>
      </w:pPr>
      <w:r>
        <w:rPr>
          <w:rFonts w:hint="eastAsia"/>
        </w:rPr>
        <w:t>Lene Kromann, Jan Rose Skaksen</w:t>
      </w:r>
      <w:r>
        <w:rPr>
          <w:rFonts w:hint="eastAsia"/>
        </w:rPr>
        <w:t>（</w:t>
      </w:r>
      <w:r>
        <w:rPr>
          <w:rFonts w:hint="eastAsia"/>
        </w:rPr>
        <w:t>2012</w:t>
      </w:r>
      <w:r>
        <w:rPr>
          <w:rFonts w:hint="eastAsia"/>
        </w:rPr>
        <w:t>），</w:t>
      </w:r>
      <w:r>
        <w:t>”</w:t>
      </w:r>
      <w:r>
        <w:rPr>
          <w:rFonts w:hint="eastAsia"/>
        </w:rPr>
        <w:t xml:space="preserve">Automation, labor productivity and employment </w:t>
      </w:r>
      <w:r>
        <w:rPr>
          <w:rFonts w:hint="eastAsia"/>
        </w:rPr>
        <w:t>–</w:t>
      </w:r>
      <w:r>
        <w:rPr>
          <w:rFonts w:hint="eastAsia"/>
        </w:rPr>
        <w:t xml:space="preserve"> a cross country comparison</w:t>
      </w:r>
      <w:r>
        <w:t>”</w:t>
      </w:r>
      <w:r>
        <w:rPr>
          <w:rFonts w:hint="eastAsia"/>
        </w:rPr>
        <w:t>.</w:t>
      </w:r>
    </w:p>
    <w:p w:rsidR="00D955B5" w:rsidRDefault="00D955B5" w:rsidP="00D955B5">
      <w:pPr>
        <w:pStyle w:val="-"/>
        <w:numPr>
          <w:ilvl w:val="0"/>
          <w:numId w:val="7"/>
        </w:numPr>
        <w:spacing w:before="108" w:after="108"/>
        <w:ind w:firstLineChars="0"/>
      </w:pPr>
      <w:r>
        <w:rPr>
          <w:rFonts w:hint="eastAsia"/>
        </w:rPr>
        <w:t>上海市社會科學界聯合會，《中國上海自由貿易試驗區</w:t>
      </w:r>
      <w:r>
        <w:rPr>
          <w:rFonts w:hint="eastAsia"/>
        </w:rPr>
        <w:t>150</w:t>
      </w:r>
      <w:r>
        <w:rPr>
          <w:rFonts w:hint="eastAsia"/>
        </w:rPr>
        <w:t>問》，第二版，</w:t>
      </w:r>
      <w:r>
        <w:rPr>
          <w:rFonts w:hint="eastAsia"/>
        </w:rPr>
        <w:t>2014</w:t>
      </w:r>
      <w:r>
        <w:rPr>
          <w:rFonts w:hint="eastAsia"/>
        </w:rPr>
        <w:t>年</w:t>
      </w:r>
      <w:r>
        <w:rPr>
          <w:rFonts w:hint="eastAsia"/>
        </w:rPr>
        <w:t>8</w:t>
      </w:r>
      <w:r>
        <w:rPr>
          <w:rFonts w:hint="eastAsia"/>
        </w:rPr>
        <w:t>月。</w:t>
      </w:r>
    </w:p>
    <w:p w:rsidR="00D955B5" w:rsidRPr="006B7173" w:rsidRDefault="00D955B5" w:rsidP="00D955B5">
      <w:pPr>
        <w:pStyle w:val="-"/>
        <w:numPr>
          <w:ilvl w:val="0"/>
          <w:numId w:val="7"/>
        </w:numPr>
        <w:spacing w:before="108" w:after="108"/>
        <w:ind w:firstLineChars="0"/>
      </w:pPr>
      <w:r>
        <w:rPr>
          <w:rFonts w:hint="eastAsia"/>
        </w:rPr>
        <w:t>大公網，「中巴建戰略鐵路，西向戰略往前邁進」，</w:t>
      </w:r>
      <w:r>
        <w:rPr>
          <w:rFonts w:hint="eastAsia"/>
        </w:rPr>
        <w:t>2013</w:t>
      </w:r>
      <w:r>
        <w:rPr>
          <w:rFonts w:hint="eastAsia"/>
        </w:rPr>
        <w:t>年</w:t>
      </w:r>
      <w:r>
        <w:rPr>
          <w:rFonts w:hint="eastAsia"/>
        </w:rPr>
        <w:t>7</w:t>
      </w:r>
      <w:r>
        <w:rPr>
          <w:rFonts w:hint="eastAsia"/>
        </w:rPr>
        <w:t>月</w:t>
      </w:r>
      <w:r>
        <w:rPr>
          <w:rFonts w:hint="eastAsia"/>
        </w:rPr>
        <w:t>8</w:t>
      </w:r>
      <w:r>
        <w:rPr>
          <w:rFonts w:hint="eastAsia"/>
        </w:rPr>
        <w:t>日。</w:t>
      </w:r>
    </w:p>
    <w:p w:rsidR="006421B5" w:rsidRDefault="006421B5" w:rsidP="006421B5">
      <w:pPr>
        <w:pStyle w:val="-"/>
        <w:numPr>
          <w:ilvl w:val="0"/>
          <w:numId w:val="7"/>
        </w:numPr>
        <w:spacing w:before="108" w:after="108"/>
        <w:ind w:firstLineChars="0"/>
      </w:pPr>
      <w:r>
        <w:rPr>
          <w:rFonts w:hint="eastAsia"/>
        </w:rPr>
        <w:t>中央社，「陸：</w:t>
      </w:r>
      <w:r>
        <w:rPr>
          <w:rFonts w:hint="eastAsia"/>
        </w:rPr>
        <w:t>157</w:t>
      </w:r>
      <w:r>
        <w:rPr>
          <w:rFonts w:hint="eastAsia"/>
        </w:rPr>
        <w:t>家台商進駐上海自貿區」，</w:t>
      </w:r>
      <w:r>
        <w:rPr>
          <w:rFonts w:hint="eastAsia"/>
        </w:rPr>
        <w:t>2014</w:t>
      </w:r>
      <w:r>
        <w:rPr>
          <w:rFonts w:hint="eastAsia"/>
        </w:rPr>
        <w:t>年</w:t>
      </w:r>
      <w:r>
        <w:rPr>
          <w:rFonts w:hint="eastAsia"/>
        </w:rPr>
        <w:t>10</w:t>
      </w:r>
      <w:r>
        <w:rPr>
          <w:rFonts w:hint="eastAsia"/>
        </w:rPr>
        <w:t>月</w:t>
      </w:r>
      <w:r>
        <w:rPr>
          <w:rFonts w:hint="eastAsia"/>
        </w:rPr>
        <w:t>15</w:t>
      </w:r>
      <w:r>
        <w:rPr>
          <w:rFonts w:hint="eastAsia"/>
        </w:rPr>
        <w:t>日。</w:t>
      </w:r>
    </w:p>
    <w:p w:rsidR="006421B5" w:rsidRDefault="006421B5" w:rsidP="006421B5">
      <w:pPr>
        <w:pStyle w:val="-"/>
        <w:numPr>
          <w:ilvl w:val="0"/>
          <w:numId w:val="7"/>
        </w:numPr>
        <w:spacing w:before="108" w:after="108"/>
        <w:ind w:firstLineChars="0"/>
      </w:pPr>
      <w:r>
        <w:rPr>
          <w:rFonts w:hint="eastAsia"/>
        </w:rPr>
        <w:t>中央社，「上海自貿區台企入駐</w:t>
      </w:r>
      <w:r>
        <w:rPr>
          <w:rFonts w:hint="eastAsia"/>
        </w:rPr>
        <w:t>18</w:t>
      </w:r>
      <w:r>
        <w:rPr>
          <w:rFonts w:hint="eastAsia"/>
        </w:rPr>
        <w:t>家」，</w:t>
      </w:r>
      <w:r>
        <w:rPr>
          <w:rFonts w:hint="eastAsia"/>
        </w:rPr>
        <w:t>2014</w:t>
      </w:r>
      <w:r>
        <w:rPr>
          <w:rFonts w:hint="eastAsia"/>
        </w:rPr>
        <w:t>年</w:t>
      </w:r>
      <w:r>
        <w:rPr>
          <w:rFonts w:hint="eastAsia"/>
        </w:rPr>
        <w:t>01</w:t>
      </w:r>
      <w:r>
        <w:rPr>
          <w:rFonts w:hint="eastAsia"/>
        </w:rPr>
        <w:t>月</w:t>
      </w:r>
      <w:r>
        <w:rPr>
          <w:rFonts w:hint="eastAsia"/>
        </w:rPr>
        <w:t>10</w:t>
      </w:r>
      <w:r>
        <w:rPr>
          <w:rFonts w:hint="eastAsia"/>
        </w:rPr>
        <w:t>日。</w:t>
      </w:r>
    </w:p>
    <w:p w:rsidR="006421B5" w:rsidRDefault="006421B5" w:rsidP="006421B5">
      <w:pPr>
        <w:pStyle w:val="-"/>
        <w:numPr>
          <w:ilvl w:val="0"/>
          <w:numId w:val="7"/>
        </w:numPr>
        <w:spacing w:before="108" w:after="108"/>
        <w:ind w:firstLineChars="0"/>
      </w:pPr>
      <w:r>
        <w:rPr>
          <w:rFonts w:hint="eastAsia"/>
        </w:rPr>
        <w:t>中央日報，「轉型紅利</w:t>
      </w:r>
      <w:r>
        <w:rPr>
          <w:rFonts w:hint="eastAsia"/>
        </w:rPr>
        <w:t>+</w:t>
      </w:r>
      <w:r>
        <w:rPr>
          <w:rFonts w:hint="eastAsia"/>
        </w:rPr>
        <w:t>自貿區效應　台商掀上海投資熱」，</w:t>
      </w:r>
      <w:r>
        <w:rPr>
          <w:rFonts w:hint="eastAsia"/>
        </w:rPr>
        <w:t>2014</w:t>
      </w:r>
      <w:r>
        <w:rPr>
          <w:rFonts w:hint="eastAsia"/>
        </w:rPr>
        <w:t>年</w:t>
      </w:r>
      <w:r>
        <w:rPr>
          <w:rFonts w:hint="eastAsia"/>
        </w:rPr>
        <w:t>9</w:t>
      </w:r>
      <w:r>
        <w:rPr>
          <w:rFonts w:hint="eastAsia"/>
        </w:rPr>
        <w:t>月</w:t>
      </w:r>
      <w:r>
        <w:rPr>
          <w:rFonts w:hint="eastAsia"/>
        </w:rPr>
        <w:t>1</w:t>
      </w:r>
      <w:r>
        <w:rPr>
          <w:rFonts w:hint="eastAsia"/>
        </w:rPr>
        <w:t>日。</w:t>
      </w:r>
    </w:p>
    <w:p w:rsidR="00D955B5" w:rsidRPr="00E34CF1" w:rsidRDefault="00D955B5" w:rsidP="00D955B5">
      <w:pPr>
        <w:pStyle w:val="-"/>
        <w:numPr>
          <w:ilvl w:val="0"/>
          <w:numId w:val="7"/>
        </w:numPr>
        <w:spacing w:before="108" w:after="108"/>
        <w:ind w:firstLineChars="0"/>
      </w:pPr>
      <w:r>
        <w:rPr>
          <w:rFonts w:hint="eastAsia"/>
        </w:rPr>
        <w:t>中外對話網，龍信鑫，「中國新環保法修訂的三年博弈」，</w:t>
      </w:r>
      <w:r>
        <w:rPr>
          <w:rFonts w:hint="eastAsia"/>
        </w:rPr>
        <w:t>2014</w:t>
      </w:r>
      <w:r>
        <w:rPr>
          <w:rFonts w:hint="eastAsia"/>
        </w:rPr>
        <w:t>年</w:t>
      </w:r>
      <w:r>
        <w:rPr>
          <w:rFonts w:hint="eastAsia"/>
        </w:rPr>
        <w:t>4</w:t>
      </w:r>
      <w:r>
        <w:rPr>
          <w:rFonts w:hint="eastAsia"/>
        </w:rPr>
        <w:t>月</w:t>
      </w:r>
      <w:r>
        <w:t>25</w:t>
      </w:r>
      <w:r>
        <w:rPr>
          <w:rFonts w:hint="eastAsia"/>
        </w:rPr>
        <w:t>日。</w:t>
      </w:r>
    </w:p>
    <w:p w:rsidR="00D955B5" w:rsidRDefault="00D955B5" w:rsidP="00D955B5">
      <w:pPr>
        <w:pStyle w:val="-"/>
        <w:numPr>
          <w:ilvl w:val="0"/>
          <w:numId w:val="7"/>
        </w:numPr>
        <w:spacing w:before="108" w:after="108"/>
        <w:ind w:firstLineChars="0"/>
      </w:pPr>
      <w:r>
        <w:rPr>
          <w:rFonts w:hint="eastAsia"/>
        </w:rPr>
        <w:t>中共中央、</w:t>
      </w:r>
      <w:r w:rsidRPr="009914DE">
        <w:rPr>
          <w:rFonts w:hint="eastAsia"/>
        </w:rPr>
        <w:t>中國大陸</w:t>
      </w:r>
      <w:r>
        <w:rPr>
          <w:rFonts w:hint="eastAsia"/>
        </w:rPr>
        <w:t>國務院，《國家新型城鎮化規劃（</w:t>
      </w:r>
      <w:r>
        <w:rPr>
          <w:rFonts w:hint="eastAsia"/>
        </w:rPr>
        <w:t>2014-2020</w:t>
      </w:r>
      <w:r>
        <w:rPr>
          <w:rFonts w:hint="eastAsia"/>
        </w:rPr>
        <w:t>年）》，</w:t>
      </w:r>
      <w:r>
        <w:rPr>
          <w:rFonts w:hint="eastAsia"/>
        </w:rPr>
        <w:t>2014</w:t>
      </w:r>
      <w:r>
        <w:rPr>
          <w:rFonts w:hint="eastAsia"/>
        </w:rPr>
        <w:t>年</w:t>
      </w:r>
      <w:r>
        <w:rPr>
          <w:rFonts w:hint="eastAsia"/>
        </w:rPr>
        <w:t>3</w:t>
      </w:r>
      <w:r>
        <w:rPr>
          <w:rFonts w:hint="eastAsia"/>
        </w:rPr>
        <w:t>月</w:t>
      </w:r>
      <w:r>
        <w:rPr>
          <w:rFonts w:hint="eastAsia"/>
        </w:rPr>
        <w:t>16</w:t>
      </w:r>
      <w:r>
        <w:rPr>
          <w:rFonts w:hint="eastAsia"/>
        </w:rPr>
        <w:t>日。</w:t>
      </w:r>
    </w:p>
    <w:p w:rsidR="00D955B5" w:rsidRDefault="00D955B5" w:rsidP="00D955B5">
      <w:pPr>
        <w:pStyle w:val="-"/>
        <w:numPr>
          <w:ilvl w:val="0"/>
          <w:numId w:val="7"/>
        </w:numPr>
        <w:spacing w:before="108" w:after="108"/>
        <w:ind w:firstLineChars="0"/>
      </w:pPr>
      <w:r>
        <w:rPr>
          <w:rFonts w:hint="eastAsia"/>
        </w:rPr>
        <w:lastRenderedPageBreak/>
        <w:t>中時電子報，「</w:t>
      </w:r>
      <w:r w:rsidRPr="00635E1F">
        <w:rPr>
          <w:rFonts w:hint="eastAsia"/>
        </w:rPr>
        <w:t>中澳</w:t>
      </w:r>
      <w:r w:rsidRPr="00635E1F">
        <w:rPr>
          <w:rFonts w:hint="eastAsia"/>
        </w:rPr>
        <w:t>FTA</w:t>
      </w:r>
      <w:r w:rsidRPr="00635E1F">
        <w:rPr>
          <w:rFonts w:hint="eastAsia"/>
        </w:rPr>
        <w:t>衝刺</w:t>
      </w:r>
      <w:r w:rsidRPr="00635E1F">
        <w:rPr>
          <w:rFonts w:hint="eastAsia"/>
        </w:rPr>
        <w:t xml:space="preserve"> </w:t>
      </w:r>
      <w:r>
        <w:rPr>
          <w:rFonts w:hint="eastAsia"/>
        </w:rPr>
        <w:t>臺</w:t>
      </w:r>
      <w:r w:rsidRPr="00635E1F">
        <w:rPr>
          <w:rFonts w:hint="eastAsia"/>
        </w:rPr>
        <w:t>澳可望跟進</w:t>
      </w:r>
      <w:r>
        <w:rPr>
          <w:rFonts w:hint="eastAsia"/>
        </w:rPr>
        <w:t>」，</w:t>
      </w:r>
      <w:r>
        <w:rPr>
          <w:rFonts w:hint="eastAsia"/>
        </w:rPr>
        <w:t>2014</w:t>
      </w:r>
      <w:r>
        <w:rPr>
          <w:rFonts w:hint="eastAsia"/>
        </w:rPr>
        <w:t>年</w:t>
      </w:r>
      <w:r>
        <w:rPr>
          <w:rFonts w:hint="eastAsia"/>
        </w:rPr>
        <w:t>10</w:t>
      </w:r>
      <w:r>
        <w:rPr>
          <w:rFonts w:hint="eastAsia"/>
        </w:rPr>
        <w:t>月</w:t>
      </w:r>
      <w:r>
        <w:rPr>
          <w:rFonts w:hint="eastAsia"/>
        </w:rPr>
        <w:t>7</w:t>
      </w:r>
      <w:r>
        <w:rPr>
          <w:rFonts w:hint="eastAsia"/>
        </w:rPr>
        <w:t>日。</w:t>
      </w:r>
    </w:p>
    <w:p w:rsidR="00D955B5" w:rsidRDefault="00D955B5" w:rsidP="00D955B5">
      <w:pPr>
        <w:pStyle w:val="-"/>
        <w:numPr>
          <w:ilvl w:val="0"/>
          <w:numId w:val="7"/>
        </w:numPr>
        <w:spacing w:before="108" w:after="108"/>
        <w:ind w:firstLineChars="0"/>
      </w:pPr>
      <w:r>
        <w:rPr>
          <w:rFonts w:hint="eastAsia"/>
        </w:rPr>
        <w:t>中時電子報，「臺</w:t>
      </w:r>
      <w:r w:rsidRPr="00635E1F">
        <w:rPr>
          <w:rFonts w:hint="eastAsia"/>
        </w:rPr>
        <w:t>馬簽</w:t>
      </w:r>
      <w:r w:rsidRPr="00635E1F">
        <w:rPr>
          <w:rFonts w:hint="eastAsia"/>
        </w:rPr>
        <w:t xml:space="preserve">FTA </w:t>
      </w:r>
      <w:r w:rsidRPr="00635E1F">
        <w:rPr>
          <w:rFonts w:hint="eastAsia"/>
        </w:rPr>
        <w:t>陸表態反對</w:t>
      </w:r>
      <w:r>
        <w:rPr>
          <w:rFonts w:hint="eastAsia"/>
        </w:rPr>
        <w:t>」，</w:t>
      </w:r>
      <w:r>
        <w:rPr>
          <w:rFonts w:hint="eastAsia"/>
        </w:rPr>
        <w:t>2014</w:t>
      </w:r>
      <w:r>
        <w:rPr>
          <w:rFonts w:hint="eastAsia"/>
        </w:rPr>
        <w:t>年</w:t>
      </w:r>
      <w:r>
        <w:rPr>
          <w:rFonts w:hint="eastAsia"/>
        </w:rPr>
        <w:t>8</w:t>
      </w:r>
      <w:r>
        <w:rPr>
          <w:rFonts w:hint="eastAsia"/>
        </w:rPr>
        <w:t>月</w:t>
      </w:r>
      <w:r>
        <w:rPr>
          <w:rFonts w:hint="eastAsia"/>
        </w:rPr>
        <w:t>22</w:t>
      </w:r>
      <w:r>
        <w:rPr>
          <w:rFonts w:hint="eastAsia"/>
        </w:rPr>
        <w:t>日。</w:t>
      </w:r>
    </w:p>
    <w:p w:rsidR="00D955B5" w:rsidRDefault="00D955B5" w:rsidP="00D955B5">
      <w:pPr>
        <w:pStyle w:val="-"/>
        <w:numPr>
          <w:ilvl w:val="0"/>
          <w:numId w:val="7"/>
        </w:numPr>
        <w:spacing w:before="108" w:after="108"/>
        <w:ind w:firstLineChars="0"/>
      </w:pPr>
      <w:r>
        <w:rPr>
          <w:rFonts w:hint="eastAsia"/>
        </w:rPr>
        <w:t>中時電子報，「</w:t>
      </w:r>
      <w:r w:rsidRPr="00C2149D">
        <w:rPr>
          <w:rFonts w:hint="eastAsia"/>
        </w:rPr>
        <w:t>閩津粵</w:t>
      </w:r>
      <w:r w:rsidRPr="00C2149D">
        <w:rPr>
          <w:rFonts w:hint="eastAsia"/>
        </w:rPr>
        <w:t xml:space="preserve"> </w:t>
      </w:r>
      <w:r w:rsidRPr="00C2149D">
        <w:rPr>
          <w:rFonts w:hint="eastAsia"/>
        </w:rPr>
        <w:t>可望同列陸第</w:t>
      </w:r>
      <w:r w:rsidRPr="00C2149D">
        <w:rPr>
          <w:rFonts w:hint="eastAsia"/>
        </w:rPr>
        <w:t>2</w:t>
      </w:r>
      <w:r w:rsidRPr="00C2149D">
        <w:rPr>
          <w:rFonts w:hint="eastAsia"/>
        </w:rPr>
        <w:t>批自貿區</w:t>
      </w:r>
      <w:r>
        <w:rPr>
          <w:rFonts w:hint="eastAsia"/>
        </w:rPr>
        <w:t>」，</w:t>
      </w:r>
      <w:r>
        <w:rPr>
          <w:rFonts w:hint="eastAsia"/>
        </w:rPr>
        <w:t>2014</w:t>
      </w:r>
      <w:r>
        <w:rPr>
          <w:rFonts w:hint="eastAsia"/>
        </w:rPr>
        <w:t>年</w:t>
      </w:r>
      <w:r>
        <w:rPr>
          <w:rFonts w:hint="eastAsia"/>
        </w:rPr>
        <w:t>10</w:t>
      </w:r>
      <w:r>
        <w:rPr>
          <w:rFonts w:hint="eastAsia"/>
        </w:rPr>
        <w:t>月</w:t>
      </w:r>
      <w:r>
        <w:rPr>
          <w:rFonts w:hint="eastAsia"/>
        </w:rPr>
        <w:t>25</w:t>
      </w:r>
      <w:r>
        <w:rPr>
          <w:rFonts w:hint="eastAsia"/>
        </w:rPr>
        <w:t>日。</w:t>
      </w:r>
    </w:p>
    <w:p w:rsidR="00D955B5" w:rsidRDefault="00D955B5" w:rsidP="00D955B5">
      <w:pPr>
        <w:pStyle w:val="-"/>
        <w:numPr>
          <w:ilvl w:val="0"/>
          <w:numId w:val="7"/>
        </w:numPr>
        <w:spacing w:before="108" w:after="108"/>
        <w:ind w:firstLineChars="0"/>
      </w:pPr>
      <w:r w:rsidRPr="009914DE">
        <w:rPr>
          <w:rFonts w:hint="eastAsia"/>
        </w:rPr>
        <w:t>中國大陸</w:t>
      </w:r>
      <w:r>
        <w:rPr>
          <w:rFonts w:hint="eastAsia"/>
        </w:rPr>
        <w:t>國務院發展研究中心、世界銀行，「中國：推進高效、包容和可持續的城鎮化」，</w:t>
      </w:r>
      <w:r>
        <w:rPr>
          <w:rFonts w:hint="eastAsia"/>
        </w:rPr>
        <w:t>2014</w:t>
      </w:r>
      <w:r>
        <w:rPr>
          <w:rFonts w:hint="eastAsia"/>
        </w:rPr>
        <w:t>年</w:t>
      </w:r>
      <w:r>
        <w:rPr>
          <w:rFonts w:hint="eastAsia"/>
        </w:rPr>
        <w:t>3</w:t>
      </w:r>
      <w:r>
        <w:rPr>
          <w:rFonts w:hint="eastAsia"/>
        </w:rPr>
        <w:t>月</w:t>
      </w:r>
      <w:r>
        <w:rPr>
          <w:rFonts w:hint="eastAsia"/>
        </w:rPr>
        <w:t>25</w:t>
      </w:r>
      <w:r>
        <w:rPr>
          <w:rFonts w:hint="eastAsia"/>
        </w:rPr>
        <w:t>日。</w:t>
      </w:r>
    </w:p>
    <w:p w:rsidR="00D955B5" w:rsidRPr="006A532A" w:rsidRDefault="00D955B5" w:rsidP="00D955B5">
      <w:pPr>
        <w:pStyle w:val="-"/>
        <w:numPr>
          <w:ilvl w:val="0"/>
          <w:numId w:val="7"/>
        </w:numPr>
        <w:spacing w:before="108" w:after="108"/>
        <w:ind w:firstLineChars="0"/>
      </w:pPr>
      <w:r w:rsidRPr="006A532A">
        <w:rPr>
          <w:rFonts w:hint="eastAsia"/>
        </w:rPr>
        <w:t>中國企業報，「絲綢之路經濟帶寫入國策」，</w:t>
      </w:r>
      <w:r w:rsidRPr="006A532A">
        <w:rPr>
          <w:rFonts w:hint="eastAsia"/>
        </w:rPr>
        <w:t>2013</w:t>
      </w:r>
      <w:r w:rsidRPr="006A532A">
        <w:rPr>
          <w:rFonts w:hint="eastAsia"/>
        </w:rPr>
        <w:t>年</w:t>
      </w:r>
      <w:r w:rsidRPr="006A532A">
        <w:rPr>
          <w:rFonts w:hint="eastAsia"/>
        </w:rPr>
        <w:t>11</w:t>
      </w:r>
      <w:r w:rsidRPr="006A532A">
        <w:rPr>
          <w:rFonts w:hint="eastAsia"/>
        </w:rPr>
        <w:t>月</w:t>
      </w:r>
      <w:r w:rsidRPr="006A532A">
        <w:rPr>
          <w:rFonts w:hint="eastAsia"/>
        </w:rPr>
        <w:t>19</w:t>
      </w:r>
      <w:r w:rsidRPr="006A532A">
        <w:rPr>
          <w:rFonts w:hint="eastAsia"/>
        </w:rPr>
        <w:t>日。</w:t>
      </w:r>
    </w:p>
    <w:p w:rsidR="00D955B5" w:rsidRDefault="00D955B5" w:rsidP="00D955B5">
      <w:pPr>
        <w:pStyle w:val="-"/>
        <w:numPr>
          <w:ilvl w:val="0"/>
          <w:numId w:val="7"/>
        </w:numPr>
        <w:spacing w:before="108" w:after="108"/>
        <w:ind w:firstLineChars="0"/>
      </w:pPr>
      <w:r>
        <w:rPr>
          <w:rFonts w:hint="eastAsia"/>
        </w:rPr>
        <w:t>中國自由貿易區服務網，</w:t>
      </w:r>
      <w:r>
        <w:rPr>
          <w:rFonts w:hint="eastAsia"/>
        </w:rPr>
        <w:t>http://fta.mofcom.gov.cn/index.shtml</w:t>
      </w:r>
      <w:r>
        <w:rPr>
          <w:rFonts w:hint="eastAsia"/>
        </w:rPr>
        <w:t>。</w:t>
      </w:r>
    </w:p>
    <w:p w:rsidR="00D955B5" w:rsidRDefault="00D955B5" w:rsidP="00D955B5">
      <w:pPr>
        <w:pStyle w:val="-"/>
        <w:numPr>
          <w:ilvl w:val="0"/>
          <w:numId w:val="7"/>
        </w:numPr>
        <w:spacing w:before="108" w:after="108"/>
        <w:ind w:firstLineChars="0"/>
      </w:pPr>
      <w:r>
        <w:rPr>
          <w:rFonts w:hint="eastAsia"/>
        </w:rPr>
        <w:t>中國行業研究，「營改增對企業的影響」，</w:t>
      </w:r>
      <w:r>
        <w:rPr>
          <w:rFonts w:hint="eastAsia"/>
        </w:rPr>
        <w:t>2013</w:t>
      </w:r>
      <w:r>
        <w:rPr>
          <w:rFonts w:hint="eastAsia"/>
        </w:rPr>
        <w:t>年</w:t>
      </w:r>
      <w:r>
        <w:rPr>
          <w:rFonts w:hint="eastAsia"/>
        </w:rPr>
        <w:t>10</w:t>
      </w:r>
      <w:r>
        <w:rPr>
          <w:rFonts w:hint="eastAsia"/>
        </w:rPr>
        <w:t>月</w:t>
      </w:r>
      <w:r>
        <w:rPr>
          <w:rFonts w:hint="eastAsia"/>
        </w:rPr>
        <w:t>25</w:t>
      </w:r>
      <w:r>
        <w:rPr>
          <w:rFonts w:hint="eastAsia"/>
        </w:rPr>
        <w:t>日。</w:t>
      </w:r>
    </w:p>
    <w:p w:rsidR="00D955B5" w:rsidRDefault="00D955B5" w:rsidP="00D955B5">
      <w:pPr>
        <w:pStyle w:val="-"/>
        <w:numPr>
          <w:ilvl w:val="0"/>
          <w:numId w:val="7"/>
        </w:numPr>
        <w:spacing w:before="108" w:after="108"/>
        <w:ind w:firstLineChars="0"/>
      </w:pPr>
      <w:r>
        <w:rPr>
          <w:rFonts w:hint="eastAsia"/>
        </w:rPr>
        <w:t>中國建設報，「京津冀一體化：三地合一，八圖上報」，</w:t>
      </w:r>
      <w:r>
        <w:t>2014</w:t>
      </w:r>
      <w:r>
        <w:rPr>
          <w:rFonts w:hint="eastAsia"/>
        </w:rPr>
        <w:t>年</w:t>
      </w:r>
      <w:r>
        <w:t>10</w:t>
      </w:r>
      <w:r>
        <w:rPr>
          <w:rFonts w:hint="eastAsia"/>
        </w:rPr>
        <w:t>月</w:t>
      </w:r>
      <w:r>
        <w:t>20</w:t>
      </w:r>
      <w:r>
        <w:rPr>
          <w:rFonts w:hint="eastAsia"/>
        </w:rPr>
        <w:t>日。</w:t>
      </w:r>
    </w:p>
    <w:p w:rsidR="00D955B5" w:rsidRDefault="00D955B5" w:rsidP="00D955B5">
      <w:pPr>
        <w:pStyle w:val="-"/>
        <w:numPr>
          <w:ilvl w:val="0"/>
          <w:numId w:val="7"/>
        </w:numPr>
        <w:spacing w:before="108" w:after="108"/>
        <w:ind w:firstLineChars="0"/>
      </w:pPr>
      <w:r>
        <w:rPr>
          <w:rFonts w:hint="eastAsia"/>
        </w:rPr>
        <w:t>中國政府網，「國務院關於依託黃金水道推動長江經濟帶發展的指導意見」，</w:t>
      </w:r>
      <w:r>
        <w:rPr>
          <w:rFonts w:hint="eastAsia"/>
        </w:rPr>
        <w:t>2014</w:t>
      </w:r>
      <w:r>
        <w:rPr>
          <w:rFonts w:hint="eastAsia"/>
        </w:rPr>
        <w:t>年</w:t>
      </w:r>
      <w:r>
        <w:rPr>
          <w:rFonts w:hint="eastAsia"/>
        </w:rPr>
        <w:t>9</w:t>
      </w:r>
      <w:r>
        <w:rPr>
          <w:rFonts w:hint="eastAsia"/>
        </w:rPr>
        <w:t>月</w:t>
      </w:r>
      <w:r>
        <w:rPr>
          <w:rFonts w:hint="eastAsia"/>
        </w:rPr>
        <w:t>25</w:t>
      </w:r>
      <w:r>
        <w:rPr>
          <w:rFonts w:hint="eastAsia"/>
        </w:rPr>
        <w:t>日。</w:t>
      </w:r>
    </w:p>
    <w:p w:rsidR="00D955B5" w:rsidRDefault="00D955B5" w:rsidP="00D955B5">
      <w:pPr>
        <w:pStyle w:val="-"/>
        <w:numPr>
          <w:ilvl w:val="0"/>
          <w:numId w:val="7"/>
        </w:numPr>
        <w:spacing w:before="108" w:after="108"/>
        <w:ind w:firstLineChars="0"/>
      </w:pPr>
      <w:r>
        <w:rPr>
          <w:rFonts w:hint="eastAsia"/>
        </w:rPr>
        <w:t>中國政府網，「國務院關於晉陝豫黃河金三角區域合作規劃的批覆」，</w:t>
      </w:r>
      <w:r>
        <w:rPr>
          <w:rFonts w:hint="eastAsia"/>
        </w:rPr>
        <w:t>2014</w:t>
      </w:r>
      <w:r>
        <w:rPr>
          <w:rFonts w:hint="eastAsia"/>
        </w:rPr>
        <w:t>年</w:t>
      </w:r>
      <w:r>
        <w:rPr>
          <w:rFonts w:hint="eastAsia"/>
        </w:rPr>
        <w:t>4</w:t>
      </w:r>
      <w:r>
        <w:rPr>
          <w:rFonts w:hint="eastAsia"/>
        </w:rPr>
        <w:t>月</w:t>
      </w:r>
      <w:r>
        <w:rPr>
          <w:rFonts w:hint="eastAsia"/>
        </w:rPr>
        <w:t>14</w:t>
      </w:r>
      <w:r>
        <w:rPr>
          <w:rFonts w:hint="eastAsia"/>
        </w:rPr>
        <w:t>日。</w:t>
      </w:r>
    </w:p>
    <w:p w:rsidR="00D955B5" w:rsidRDefault="00D955B5" w:rsidP="00D955B5">
      <w:pPr>
        <w:pStyle w:val="-"/>
        <w:numPr>
          <w:ilvl w:val="0"/>
          <w:numId w:val="7"/>
        </w:numPr>
        <w:spacing w:before="108" w:after="108"/>
        <w:ind w:firstLineChars="0"/>
      </w:pPr>
      <w:r>
        <w:rPr>
          <w:rFonts w:hint="eastAsia"/>
        </w:rPr>
        <w:t>中國時報，「自貿區模式</w:t>
      </w:r>
      <w:r>
        <w:rPr>
          <w:rFonts w:hint="eastAsia"/>
        </w:rPr>
        <w:t xml:space="preserve"> 10</w:t>
      </w:r>
      <w:r>
        <w:rPr>
          <w:rFonts w:hint="eastAsia"/>
        </w:rPr>
        <w:t>月跨出上海」，</w:t>
      </w:r>
      <w:r>
        <w:rPr>
          <w:rFonts w:hint="eastAsia"/>
        </w:rPr>
        <w:t>2014</w:t>
      </w:r>
      <w:r>
        <w:rPr>
          <w:rFonts w:hint="eastAsia"/>
        </w:rPr>
        <w:t>年</w:t>
      </w:r>
      <w:r>
        <w:rPr>
          <w:rFonts w:hint="eastAsia"/>
        </w:rPr>
        <w:t>4</w:t>
      </w:r>
      <w:r>
        <w:rPr>
          <w:rFonts w:hint="eastAsia"/>
        </w:rPr>
        <w:t>月</w:t>
      </w:r>
      <w:r>
        <w:rPr>
          <w:rFonts w:hint="eastAsia"/>
        </w:rPr>
        <w:t>28</w:t>
      </w:r>
      <w:r>
        <w:rPr>
          <w:rFonts w:hint="eastAsia"/>
        </w:rPr>
        <w:t>日。</w:t>
      </w:r>
    </w:p>
    <w:p w:rsidR="00D955B5" w:rsidRDefault="00D955B5" w:rsidP="00D955B5">
      <w:pPr>
        <w:pStyle w:val="-"/>
        <w:numPr>
          <w:ilvl w:val="0"/>
          <w:numId w:val="7"/>
        </w:numPr>
        <w:spacing w:before="108" w:after="108"/>
        <w:ind w:firstLineChars="0"/>
      </w:pPr>
      <w:r>
        <w:rPr>
          <w:rFonts w:hint="eastAsia"/>
        </w:rPr>
        <w:t>中國時報，「陸版馬歇爾計畫，側重地緣政治」，</w:t>
      </w:r>
      <w:r>
        <w:rPr>
          <w:rFonts w:hint="eastAsia"/>
        </w:rPr>
        <w:t>2014</w:t>
      </w:r>
      <w:r>
        <w:rPr>
          <w:rFonts w:hint="eastAsia"/>
        </w:rPr>
        <w:t>年</w:t>
      </w:r>
      <w:r>
        <w:rPr>
          <w:rFonts w:hint="eastAsia"/>
        </w:rPr>
        <w:t>5</w:t>
      </w:r>
      <w:r>
        <w:rPr>
          <w:rFonts w:hint="eastAsia"/>
        </w:rPr>
        <w:t>月</w:t>
      </w:r>
      <w:r>
        <w:rPr>
          <w:rFonts w:hint="eastAsia"/>
        </w:rPr>
        <w:t>5</w:t>
      </w:r>
      <w:r>
        <w:rPr>
          <w:rFonts w:hint="eastAsia"/>
        </w:rPr>
        <w:t>日。</w:t>
      </w:r>
    </w:p>
    <w:p w:rsidR="00D955B5" w:rsidRDefault="00D955B5" w:rsidP="00D955B5">
      <w:pPr>
        <w:pStyle w:val="-"/>
        <w:numPr>
          <w:ilvl w:val="0"/>
          <w:numId w:val="7"/>
        </w:numPr>
        <w:spacing w:before="108" w:after="108"/>
        <w:ind w:firstLineChars="0"/>
      </w:pPr>
      <w:r>
        <w:rPr>
          <w:rFonts w:hint="eastAsia"/>
        </w:rPr>
        <w:t>中國產業洞察網，「</w:t>
      </w:r>
      <w:r>
        <w:rPr>
          <w:rFonts w:hint="eastAsia"/>
        </w:rPr>
        <w:t>2013</w:t>
      </w:r>
      <w:r>
        <w:rPr>
          <w:rFonts w:hint="eastAsia"/>
        </w:rPr>
        <w:t>年智慧裝備製造發展專項內容解讀分析」，</w:t>
      </w:r>
      <w:r>
        <w:rPr>
          <w:rFonts w:hint="eastAsia"/>
        </w:rPr>
        <w:t>2013</w:t>
      </w:r>
      <w:r>
        <w:rPr>
          <w:rFonts w:hint="eastAsia"/>
        </w:rPr>
        <w:t>年</w:t>
      </w:r>
      <w:r>
        <w:rPr>
          <w:rFonts w:hint="eastAsia"/>
        </w:rPr>
        <w:t>3</w:t>
      </w:r>
      <w:r>
        <w:rPr>
          <w:rFonts w:hint="eastAsia"/>
        </w:rPr>
        <w:t>月</w:t>
      </w:r>
      <w:r>
        <w:rPr>
          <w:rFonts w:hint="eastAsia"/>
        </w:rPr>
        <w:t>13</w:t>
      </w:r>
      <w:r>
        <w:rPr>
          <w:rFonts w:hint="eastAsia"/>
        </w:rPr>
        <w:t>日。</w:t>
      </w:r>
    </w:p>
    <w:p w:rsidR="00D955B5" w:rsidRDefault="00D955B5" w:rsidP="00D955B5">
      <w:pPr>
        <w:pStyle w:val="-"/>
        <w:numPr>
          <w:ilvl w:val="0"/>
          <w:numId w:val="7"/>
        </w:numPr>
        <w:spacing w:before="108" w:after="108"/>
        <w:ind w:firstLineChars="0"/>
      </w:pPr>
      <w:r>
        <w:rPr>
          <w:rFonts w:hint="eastAsia"/>
        </w:rPr>
        <w:t>中國新聞網，「李克強提黃金水道戰略謀長江經濟帶促全局發展」，</w:t>
      </w:r>
      <w:r>
        <w:rPr>
          <w:rFonts w:hint="eastAsia"/>
        </w:rPr>
        <w:t>2014</w:t>
      </w:r>
      <w:r>
        <w:rPr>
          <w:rFonts w:hint="eastAsia"/>
        </w:rPr>
        <w:t>年</w:t>
      </w:r>
      <w:r>
        <w:rPr>
          <w:rFonts w:hint="eastAsia"/>
        </w:rPr>
        <w:t>4</w:t>
      </w:r>
      <w:r>
        <w:rPr>
          <w:rFonts w:hint="eastAsia"/>
        </w:rPr>
        <w:t>月</w:t>
      </w:r>
      <w:r>
        <w:rPr>
          <w:rFonts w:hint="eastAsia"/>
        </w:rPr>
        <w:t>28</w:t>
      </w:r>
      <w:r>
        <w:rPr>
          <w:rFonts w:hint="eastAsia"/>
        </w:rPr>
        <w:t>日。</w:t>
      </w:r>
    </w:p>
    <w:p w:rsidR="00D955B5" w:rsidRDefault="00D955B5" w:rsidP="00D955B5">
      <w:pPr>
        <w:pStyle w:val="-"/>
        <w:numPr>
          <w:ilvl w:val="0"/>
          <w:numId w:val="7"/>
        </w:numPr>
        <w:spacing w:before="108" w:after="108"/>
        <w:ind w:firstLineChars="0"/>
      </w:pPr>
      <w:r>
        <w:rPr>
          <w:rFonts w:hint="eastAsia"/>
        </w:rPr>
        <w:t>中國機器人產業聯盟網，</w:t>
      </w:r>
      <w:r>
        <w:rPr>
          <w:rFonts w:hint="eastAsia"/>
        </w:rPr>
        <w:t>http://cria.mei.net.cn/</w:t>
      </w:r>
      <w:r>
        <w:rPr>
          <w:rFonts w:hint="eastAsia"/>
        </w:rPr>
        <w:t>。</w:t>
      </w:r>
    </w:p>
    <w:p w:rsidR="00D955B5" w:rsidRDefault="00D955B5" w:rsidP="00D955B5">
      <w:pPr>
        <w:pStyle w:val="-"/>
        <w:numPr>
          <w:ilvl w:val="0"/>
          <w:numId w:val="7"/>
        </w:numPr>
        <w:spacing w:before="108" w:after="108"/>
        <w:ind w:firstLineChars="0"/>
      </w:pPr>
      <w:r>
        <w:rPr>
          <w:rFonts w:hint="eastAsia"/>
        </w:rPr>
        <w:t>中華人民共和國國家統計局，</w:t>
      </w:r>
      <w:r>
        <w:rPr>
          <w:rFonts w:hint="eastAsia"/>
        </w:rPr>
        <w:t>2012</w:t>
      </w:r>
      <w:r>
        <w:rPr>
          <w:rFonts w:hint="eastAsia"/>
        </w:rPr>
        <w:t>年中國統計年鑑，</w:t>
      </w:r>
      <w:r>
        <w:rPr>
          <w:rFonts w:hint="eastAsia"/>
        </w:rPr>
        <w:t>2013</w:t>
      </w:r>
      <w:r>
        <w:rPr>
          <w:rFonts w:hint="eastAsia"/>
        </w:rPr>
        <w:t>年</w:t>
      </w:r>
      <w:r>
        <w:rPr>
          <w:rFonts w:hint="eastAsia"/>
        </w:rPr>
        <w:t>11</w:t>
      </w:r>
      <w:r>
        <w:rPr>
          <w:rFonts w:hint="eastAsia"/>
        </w:rPr>
        <w:t>月</w:t>
      </w:r>
      <w:r>
        <w:rPr>
          <w:rFonts w:hint="eastAsia"/>
        </w:rPr>
        <w:t>20</w:t>
      </w:r>
      <w:r>
        <w:rPr>
          <w:rFonts w:hint="eastAsia"/>
        </w:rPr>
        <w:lastRenderedPageBreak/>
        <w:t>日。</w:t>
      </w:r>
    </w:p>
    <w:p w:rsidR="00D955B5" w:rsidRDefault="00D955B5" w:rsidP="00D955B5">
      <w:pPr>
        <w:pStyle w:val="-"/>
        <w:numPr>
          <w:ilvl w:val="0"/>
          <w:numId w:val="7"/>
        </w:numPr>
        <w:spacing w:before="108" w:after="108"/>
        <w:ind w:firstLineChars="0"/>
      </w:pPr>
      <w:r w:rsidRPr="00D9643B">
        <w:rPr>
          <w:rFonts w:hint="eastAsia"/>
        </w:rPr>
        <w:t>卞臻禎</w:t>
      </w:r>
      <w:r>
        <w:rPr>
          <w:rFonts w:hint="eastAsia"/>
        </w:rPr>
        <w:t>（</w:t>
      </w:r>
      <w:r>
        <w:rPr>
          <w:rFonts w:hint="eastAsia"/>
        </w:rPr>
        <w:t>2014</w:t>
      </w:r>
      <w:r>
        <w:rPr>
          <w:rFonts w:hint="eastAsia"/>
        </w:rPr>
        <w:t>），「</w:t>
      </w:r>
      <w:r w:rsidRPr="00D9643B">
        <w:rPr>
          <w:rFonts w:hint="eastAsia"/>
        </w:rPr>
        <w:t>中國</w:t>
      </w:r>
      <w:r w:rsidRPr="00D9643B">
        <w:t xml:space="preserve">( </w:t>
      </w:r>
      <w:r w:rsidRPr="00D9643B">
        <w:rPr>
          <w:rFonts w:hint="eastAsia"/>
        </w:rPr>
        <w:t>上海</w:t>
      </w:r>
      <w:r w:rsidRPr="00D9643B">
        <w:t xml:space="preserve">) </w:t>
      </w:r>
      <w:r w:rsidRPr="00D9643B">
        <w:rPr>
          <w:rFonts w:hint="eastAsia"/>
        </w:rPr>
        <w:t>自由貿易試驗區成立對蘇州經濟金融的影響分析</w:t>
      </w:r>
      <w:r>
        <w:rPr>
          <w:rFonts w:hint="eastAsia"/>
        </w:rPr>
        <w:t>」，《知識經濟》，</w:t>
      </w:r>
      <w:r>
        <w:rPr>
          <w:rFonts w:hint="eastAsia"/>
        </w:rPr>
        <w:t>2014</w:t>
      </w:r>
      <w:r>
        <w:rPr>
          <w:rFonts w:hint="eastAsia"/>
        </w:rPr>
        <w:t>年第</w:t>
      </w:r>
      <w:r>
        <w:rPr>
          <w:rFonts w:hint="eastAsia"/>
        </w:rPr>
        <w:t>4</w:t>
      </w:r>
      <w:r>
        <w:rPr>
          <w:rFonts w:hint="eastAsia"/>
        </w:rPr>
        <w:t>期。</w:t>
      </w:r>
    </w:p>
    <w:p w:rsidR="00D955B5" w:rsidRDefault="00D955B5" w:rsidP="00D955B5">
      <w:pPr>
        <w:pStyle w:val="-"/>
        <w:numPr>
          <w:ilvl w:val="0"/>
          <w:numId w:val="7"/>
        </w:numPr>
        <w:spacing w:before="108" w:after="108"/>
        <w:ind w:firstLineChars="0"/>
      </w:pPr>
      <w:r>
        <w:rPr>
          <w:rFonts w:hint="eastAsia"/>
        </w:rPr>
        <w:t>文匯網，「</w:t>
      </w:r>
      <w:r w:rsidRPr="0034354F">
        <w:rPr>
          <w:rFonts w:hint="eastAsia"/>
        </w:rPr>
        <w:t>李克強訪歐</w:t>
      </w:r>
      <w:r w:rsidRPr="0034354F">
        <w:rPr>
          <w:rFonts w:hint="eastAsia"/>
        </w:rPr>
        <w:t>:</w:t>
      </w:r>
      <w:r w:rsidRPr="0034354F">
        <w:rPr>
          <w:rFonts w:hint="eastAsia"/>
        </w:rPr>
        <w:t>超</w:t>
      </w:r>
      <w:r w:rsidRPr="0034354F">
        <w:rPr>
          <w:rFonts w:hint="eastAsia"/>
        </w:rPr>
        <w:t>10</w:t>
      </w:r>
      <w:r w:rsidRPr="0034354F">
        <w:rPr>
          <w:rFonts w:hint="eastAsia"/>
        </w:rPr>
        <w:t>場合提「創新」</w:t>
      </w:r>
      <w:r>
        <w:rPr>
          <w:rFonts w:hint="eastAsia"/>
        </w:rPr>
        <w:t>」，</w:t>
      </w:r>
      <w:r w:rsidRPr="00F6650C">
        <w:rPr>
          <w:rFonts w:hint="eastAsia"/>
        </w:rPr>
        <w:t>201</w:t>
      </w:r>
      <w:r>
        <w:rPr>
          <w:rFonts w:hint="eastAsia"/>
        </w:rPr>
        <w:t>4</w:t>
      </w:r>
      <w:r w:rsidRPr="00F6650C">
        <w:rPr>
          <w:rFonts w:hint="eastAsia"/>
        </w:rPr>
        <w:t>年</w:t>
      </w:r>
      <w:r w:rsidRPr="00F6650C">
        <w:rPr>
          <w:rFonts w:hint="eastAsia"/>
        </w:rPr>
        <w:t>1</w:t>
      </w:r>
      <w:r>
        <w:rPr>
          <w:rFonts w:hint="eastAsia"/>
        </w:rPr>
        <w:t>0</w:t>
      </w:r>
      <w:r>
        <w:rPr>
          <w:rFonts w:hint="eastAsia"/>
        </w:rPr>
        <w:t>月</w:t>
      </w:r>
      <w:r>
        <w:rPr>
          <w:rFonts w:hint="eastAsia"/>
        </w:rPr>
        <w:t>17</w:t>
      </w:r>
      <w:r>
        <w:rPr>
          <w:rFonts w:hint="eastAsia"/>
        </w:rPr>
        <w:t>日。</w:t>
      </w:r>
    </w:p>
    <w:p w:rsidR="00D955B5" w:rsidRDefault="00D955B5" w:rsidP="00D955B5">
      <w:pPr>
        <w:pStyle w:val="-"/>
        <w:numPr>
          <w:ilvl w:val="0"/>
          <w:numId w:val="7"/>
        </w:numPr>
        <w:spacing w:before="108" w:after="108"/>
        <w:ind w:firstLineChars="0"/>
      </w:pPr>
      <w:r>
        <w:rPr>
          <w:rFonts w:hint="eastAsia"/>
        </w:rPr>
        <w:t>文匯網，「</w:t>
      </w:r>
      <w:r w:rsidRPr="0034354F">
        <w:rPr>
          <w:rFonts w:hint="eastAsia"/>
        </w:rPr>
        <w:t>李克強訪歐全鏡頭</w:t>
      </w:r>
      <w:r w:rsidRPr="0034354F">
        <w:rPr>
          <w:rFonts w:hint="eastAsia"/>
        </w:rPr>
        <w:t>:</w:t>
      </w:r>
      <w:r w:rsidRPr="0034354F">
        <w:rPr>
          <w:rFonts w:hint="eastAsia"/>
        </w:rPr>
        <w:t>「深耕歐洲」之旅</w:t>
      </w:r>
      <w:r>
        <w:rPr>
          <w:rFonts w:hint="eastAsia"/>
        </w:rPr>
        <w:t>」，</w:t>
      </w:r>
      <w:r w:rsidRPr="00F6650C">
        <w:rPr>
          <w:rFonts w:hint="eastAsia"/>
        </w:rPr>
        <w:t>201</w:t>
      </w:r>
      <w:r>
        <w:rPr>
          <w:rFonts w:hint="eastAsia"/>
        </w:rPr>
        <w:t>4</w:t>
      </w:r>
      <w:r w:rsidRPr="00F6650C">
        <w:rPr>
          <w:rFonts w:hint="eastAsia"/>
        </w:rPr>
        <w:t>年</w:t>
      </w:r>
      <w:r w:rsidRPr="00F6650C">
        <w:rPr>
          <w:rFonts w:hint="eastAsia"/>
        </w:rPr>
        <w:t>1</w:t>
      </w:r>
      <w:r>
        <w:rPr>
          <w:rFonts w:hint="eastAsia"/>
        </w:rPr>
        <w:t>0</w:t>
      </w:r>
      <w:r>
        <w:rPr>
          <w:rFonts w:hint="eastAsia"/>
        </w:rPr>
        <w:t>月</w:t>
      </w:r>
      <w:r>
        <w:rPr>
          <w:rFonts w:hint="eastAsia"/>
        </w:rPr>
        <w:t>19</w:t>
      </w:r>
      <w:r>
        <w:rPr>
          <w:rFonts w:hint="eastAsia"/>
        </w:rPr>
        <w:t>日。</w:t>
      </w:r>
    </w:p>
    <w:p w:rsidR="00D955B5" w:rsidRPr="008804C2" w:rsidRDefault="00D955B5" w:rsidP="00D955B5">
      <w:pPr>
        <w:pStyle w:val="-"/>
        <w:numPr>
          <w:ilvl w:val="0"/>
          <w:numId w:val="7"/>
        </w:numPr>
        <w:spacing w:before="108" w:after="108"/>
        <w:ind w:firstLineChars="0"/>
      </w:pPr>
      <w:r>
        <w:rPr>
          <w:rFonts w:hint="eastAsia"/>
        </w:rPr>
        <w:t>全球臺商</w:t>
      </w:r>
      <w:r>
        <w:rPr>
          <w:rFonts w:hint="eastAsia"/>
        </w:rPr>
        <w:t>e</w:t>
      </w:r>
      <w:r>
        <w:rPr>
          <w:rFonts w:hint="eastAsia"/>
        </w:rPr>
        <w:t>焦點電子報，劉柏定，「企業從長三角到中三角的戰略布局」，</w:t>
      </w:r>
      <w:r>
        <w:rPr>
          <w:rFonts w:hint="eastAsia"/>
        </w:rPr>
        <w:t>2</w:t>
      </w:r>
      <w:r>
        <w:t>013</w:t>
      </w:r>
      <w:r>
        <w:rPr>
          <w:rFonts w:hint="eastAsia"/>
        </w:rPr>
        <w:t>年</w:t>
      </w:r>
      <w:r>
        <w:t>4</w:t>
      </w:r>
      <w:r>
        <w:rPr>
          <w:rFonts w:hint="eastAsia"/>
        </w:rPr>
        <w:t>月</w:t>
      </w:r>
      <w:r>
        <w:t>3</w:t>
      </w:r>
      <w:r>
        <w:rPr>
          <w:rFonts w:hint="eastAsia"/>
        </w:rPr>
        <w:t>日。</w:t>
      </w:r>
    </w:p>
    <w:p w:rsidR="00D955B5" w:rsidRDefault="00D955B5" w:rsidP="00D955B5">
      <w:pPr>
        <w:pStyle w:val="-"/>
        <w:numPr>
          <w:ilvl w:val="0"/>
          <w:numId w:val="7"/>
        </w:numPr>
        <w:spacing w:before="108" w:after="108"/>
        <w:ind w:firstLineChars="0"/>
      </w:pPr>
      <w:r>
        <w:rPr>
          <w:rFonts w:hint="eastAsia"/>
        </w:rPr>
        <w:t>羊城晚報，「外資獨資在華辦醫開閘</w:t>
      </w:r>
      <w:r>
        <w:t>”</w:t>
      </w:r>
      <w:r>
        <w:rPr>
          <w:rFonts w:hint="eastAsia"/>
        </w:rPr>
        <w:t>洋醫院</w:t>
      </w:r>
      <w:r>
        <w:t>”</w:t>
      </w:r>
      <w:r>
        <w:rPr>
          <w:rFonts w:hint="eastAsia"/>
        </w:rPr>
        <w:t>恐水土不服」，</w:t>
      </w:r>
      <w:r>
        <w:rPr>
          <w:rFonts w:hint="eastAsia"/>
        </w:rPr>
        <w:t>2014</w:t>
      </w:r>
      <w:r>
        <w:rPr>
          <w:rFonts w:hint="eastAsia"/>
        </w:rPr>
        <w:t>年</w:t>
      </w:r>
      <w:r>
        <w:rPr>
          <w:rFonts w:hint="eastAsia"/>
        </w:rPr>
        <w:t>10</w:t>
      </w:r>
      <w:r>
        <w:rPr>
          <w:rFonts w:hint="eastAsia"/>
        </w:rPr>
        <w:t>月</w:t>
      </w:r>
      <w:r>
        <w:rPr>
          <w:rFonts w:hint="eastAsia"/>
        </w:rPr>
        <w:t>11</w:t>
      </w:r>
      <w:r>
        <w:rPr>
          <w:rFonts w:hint="eastAsia"/>
        </w:rPr>
        <w:t>日。</w:t>
      </w:r>
    </w:p>
    <w:p w:rsidR="00D955B5" w:rsidRDefault="00D955B5" w:rsidP="00D955B5">
      <w:pPr>
        <w:pStyle w:val="-"/>
        <w:numPr>
          <w:ilvl w:val="0"/>
          <w:numId w:val="7"/>
        </w:numPr>
        <w:spacing w:before="108" w:after="108"/>
        <w:ind w:firstLineChars="0"/>
      </w:pPr>
      <w:r>
        <w:rPr>
          <w:rFonts w:hint="eastAsia"/>
        </w:rPr>
        <w:t>自由時報，「機器人掀工業革命</w:t>
      </w:r>
      <w:r>
        <w:rPr>
          <w:rFonts w:hint="eastAsia"/>
        </w:rPr>
        <w:t xml:space="preserve"> </w:t>
      </w:r>
      <w:r>
        <w:rPr>
          <w:rFonts w:hint="eastAsia"/>
        </w:rPr>
        <w:t>臺灣每萬人有</w:t>
      </w:r>
      <w:r>
        <w:rPr>
          <w:rFonts w:hint="eastAsia"/>
        </w:rPr>
        <w:t>124</w:t>
      </w:r>
      <w:r>
        <w:rPr>
          <w:rFonts w:hint="eastAsia"/>
        </w:rPr>
        <w:t>臺」，</w:t>
      </w:r>
      <w:r>
        <w:rPr>
          <w:rFonts w:hint="eastAsia"/>
        </w:rPr>
        <w:t>2014</w:t>
      </w:r>
      <w:r>
        <w:rPr>
          <w:rFonts w:hint="eastAsia"/>
        </w:rPr>
        <w:t>年</w:t>
      </w:r>
      <w:r>
        <w:rPr>
          <w:rFonts w:hint="eastAsia"/>
        </w:rPr>
        <w:t>9</w:t>
      </w:r>
      <w:r>
        <w:rPr>
          <w:rFonts w:hint="eastAsia"/>
        </w:rPr>
        <w:t>月</w:t>
      </w:r>
      <w:r>
        <w:rPr>
          <w:rFonts w:hint="eastAsia"/>
        </w:rPr>
        <w:t>22</w:t>
      </w:r>
      <w:r>
        <w:rPr>
          <w:rFonts w:hint="eastAsia"/>
        </w:rPr>
        <w:t>日。</w:t>
      </w:r>
    </w:p>
    <w:p w:rsidR="00D955B5" w:rsidRDefault="00D955B5" w:rsidP="00D955B5">
      <w:pPr>
        <w:pStyle w:val="-"/>
        <w:numPr>
          <w:ilvl w:val="0"/>
          <w:numId w:val="7"/>
        </w:numPr>
        <w:spacing w:before="108" w:after="108"/>
        <w:ind w:firstLineChars="0"/>
      </w:pPr>
      <w:r>
        <w:rPr>
          <w:rFonts w:hint="eastAsia"/>
        </w:rPr>
        <w:t>西路網，「李克強：鋪就面向東盟的海上絲綢之路」，</w:t>
      </w:r>
      <w:r>
        <w:rPr>
          <w:rFonts w:hint="eastAsia"/>
        </w:rPr>
        <w:t>2013</w:t>
      </w:r>
      <w:r>
        <w:rPr>
          <w:rFonts w:hint="eastAsia"/>
        </w:rPr>
        <w:t>年</w:t>
      </w:r>
      <w:r>
        <w:rPr>
          <w:rFonts w:hint="eastAsia"/>
        </w:rPr>
        <w:t>9</w:t>
      </w:r>
      <w:r>
        <w:rPr>
          <w:rFonts w:hint="eastAsia"/>
        </w:rPr>
        <w:t>月</w:t>
      </w:r>
      <w:r>
        <w:rPr>
          <w:rFonts w:hint="eastAsia"/>
        </w:rPr>
        <w:t>12</w:t>
      </w:r>
      <w:r>
        <w:rPr>
          <w:rFonts w:hint="eastAsia"/>
        </w:rPr>
        <w:t>日。</w:t>
      </w:r>
    </w:p>
    <w:p w:rsidR="00D955B5" w:rsidRDefault="00D955B5" w:rsidP="00D955B5">
      <w:pPr>
        <w:pStyle w:val="-"/>
        <w:numPr>
          <w:ilvl w:val="0"/>
          <w:numId w:val="7"/>
        </w:numPr>
        <w:spacing w:before="108" w:after="108"/>
        <w:ind w:firstLineChars="0"/>
      </w:pPr>
      <w:r>
        <w:rPr>
          <w:rFonts w:hint="eastAsia"/>
        </w:rPr>
        <w:t>何茂春、張冀兵，「新絲綢之路經濟帶的國家戰略分析」，</w:t>
      </w:r>
      <w:r>
        <w:rPr>
          <w:rFonts w:hint="eastAsia"/>
        </w:rPr>
        <w:t>2013</w:t>
      </w:r>
      <w:r>
        <w:rPr>
          <w:rFonts w:hint="eastAsia"/>
        </w:rPr>
        <w:t>年</w:t>
      </w:r>
      <w:r>
        <w:rPr>
          <w:rFonts w:hint="eastAsia"/>
        </w:rPr>
        <w:t>12</w:t>
      </w:r>
      <w:r>
        <w:rPr>
          <w:rFonts w:hint="eastAsia"/>
        </w:rPr>
        <w:t>月</w:t>
      </w:r>
      <w:r>
        <w:rPr>
          <w:rFonts w:hint="eastAsia"/>
        </w:rPr>
        <w:t>31</w:t>
      </w:r>
      <w:r>
        <w:rPr>
          <w:rFonts w:hint="eastAsia"/>
        </w:rPr>
        <w:t>日。</w:t>
      </w:r>
    </w:p>
    <w:p w:rsidR="00D955B5" w:rsidRDefault="00D955B5" w:rsidP="00D955B5">
      <w:pPr>
        <w:pStyle w:val="-"/>
        <w:numPr>
          <w:ilvl w:val="0"/>
          <w:numId w:val="7"/>
        </w:numPr>
        <w:spacing w:before="108" w:after="108"/>
        <w:ind w:firstLineChars="0"/>
      </w:pPr>
      <w:r>
        <w:rPr>
          <w:rFonts w:hint="eastAsia"/>
        </w:rPr>
        <w:t>宋曉剛，「</w:t>
      </w:r>
      <w:r>
        <w:rPr>
          <w:rFonts w:hint="eastAsia"/>
        </w:rPr>
        <w:t>2013</w:t>
      </w:r>
      <w:r>
        <w:rPr>
          <w:rFonts w:hint="eastAsia"/>
        </w:rPr>
        <w:t>年兩岸自動化與機器人產業論壇」，大陸機器人產業現況，</w:t>
      </w:r>
      <w:r>
        <w:rPr>
          <w:rFonts w:hint="eastAsia"/>
        </w:rPr>
        <w:t>2013</w:t>
      </w:r>
      <w:r>
        <w:rPr>
          <w:rFonts w:hint="eastAsia"/>
        </w:rPr>
        <w:t>年</w:t>
      </w:r>
      <w:r>
        <w:rPr>
          <w:rFonts w:hint="eastAsia"/>
        </w:rPr>
        <w:t>8</w:t>
      </w:r>
      <w:r>
        <w:rPr>
          <w:rFonts w:hint="eastAsia"/>
        </w:rPr>
        <w:t>月</w:t>
      </w:r>
      <w:r>
        <w:rPr>
          <w:rFonts w:hint="eastAsia"/>
        </w:rPr>
        <w:t>29</w:t>
      </w:r>
      <w:r>
        <w:rPr>
          <w:rFonts w:hint="eastAsia"/>
        </w:rPr>
        <w:t>日。</w:t>
      </w:r>
    </w:p>
    <w:p w:rsidR="00D955B5" w:rsidRDefault="00D955B5" w:rsidP="00D955B5">
      <w:pPr>
        <w:pStyle w:val="-"/>
        <w:numPr>
          <w:ilvl w:val="0"/>
          <w:numId w:val="7"/>
        </w:numPr>
        <w:spacing w:before="108" w:after="108"/>
        <w:ind w:firstLineChars="0"/>
      </w:pPr>
      <w:r>
        <w:rPr>
          <w:rFonts w:hint="eastAsia"/>
        </w:rPr>
        <w:t>每日經濟新聞，「首家外商獨資醫院將落戶上海自貿區」，</w:t>
      </w:r>
      <w:r>
        <w:rPr>
          <w:rFonts w:hint="eastAsia"/>
        </w:rPr>
        <w:t>2014</w:t>
      </w:r>
      <w:r>
        <w:rPr>
          <w:rFonts w:hint="eastAsia"/>
        </w:rPr>
        <w:t>年</w:t>
      </w:r>
      <w:r>
        <w:rPr>
          <w:rFonts w:hint="eastAsia"/>
        </w:rPr>
        <w:t>7</w:t>
      </w:r>
      <w:r>
        <w:rPr>
          <w:rFonts w:hint="eastAsia"/>
        </w:rPr>
        <w:t>月</w:t>
      </w:r>
      <w:r>
        <w:rPr>
          <w:rFonts w:hint="eastAsia"/>
        </w:rPr>
        <w:t>23</w:t>
      </w:r>
      <w:r>
        <w:rPr>
          <w:rFonts w:hint="eastAsia"/>
        </w:rPr>
        <w:t>日。</w:t>
      </w:r>
    </w:p>
    <w:p w:rsidR="00D955B5" w:rsidRDefault="00D955B5" w:rsidP="00D955B5">
      <w:pPr>
        <w:pStyle w:val="-"/>
        <w:numPr>
          <w:ilvl w:val="0"/>
          <w:numId w:val="7"/>
        </w:numPr>
        <w:spacing w:before="108" w:after="108"/>
        <w:ind w:firstLineChars="0"/>
      </w:pPr>
      <w:r>
        <w:rPr>
          <w:rFonts w:hint="eastAsia"/>
        </w:rPr>
        <w:t>旺報，「</w:t>
      </w:r>
      <w:r w:rsidRPr="00635E1F">
        <w:rPr>
          <w:rFonts w:hint="eastAsia"/>
        </w:rPr>
        <w:t>大陸送大禮</w:t>
      </w:r>
      <w:r w:rsidRPr="00635E1F">
        <w:rPr>
          <w:rFonts w:hint="eastAsia"/>
        </w:rPr>
        <w:t xml:space="preserve"> </w:t>
      </w:r>
      <w:r w:rsidRPr="00635E1F">
        <w:rPr>
          <w:rFonts w:hint="eastAsia"/>
        </w:rPr>
        <w:t>如何說到做到</w:t>
      </w:r>
      <w:r>
        <w:rPr>
          <w:rFonts w:hint="eastAsia"/>
        </w:rPr>
        <w:t>」，</w:t>
      </w:r>
      <w:r>
        <w:rPr>
          <w:rFonts w:hint="eastAsia"/>
        </w:rPr>
        <w:t>2014</w:t>
      </w:r>
      <w:r>
        <w:rPr>
          <w:rFonts w:hint="eastAsia"/>
        </w:rPr>
        <w:t>年</w:t>
      </w:r>
      <w:r>
        <w:rPr>
          <w:rFonts w:hint="eastAsia"/>
        </w:rPr>
        <w:t>6</w:t>
      </w:r>
      <w:r>
        <w:rPr>
          <w:rFonts w:hint="eastAsia"/>
        </w:rPr>
        <w:t>月</w:t>
      </w:r>
      <w:r>
        <w:rPr>
          <w:rFonts w:hint="eastAsia"/>
        </w:rPr>
        <w:t>30</w:t>
      </w:r>
      <w:r>
        <w:rPr>
          <w:rFonts w:hint="eastAsia"/>
        </w:rPr>
        <w:t>日。</w:t>
      </w:r>
    </w:p>
    <w:p w:rsidR="00D955B5" w:rsidRDefault="00D955B5" w:rsidP="00D955B5">
      <w:pPr>
        <w:pStyle w:val="-"/>
        <w:numPr>
          <w:ilvl w:val="0"/>
          <w:numId w:val="7"/>
        </w:numPr>
        <w:spacing w:before="108" w:after="108"/>
        <w:ind w:firstLineChars="0"/>
      </w:pPr>
      <w:r>
        <w:rPr>
          <w:rFonts w:hint="eastAsia"/>
        </w:rPr>
        <w:t>東方早報，「</w:t>
      </w:r>
      <w:r w:rsidRPr="003317B6">
        <w:rPr>
          <w:rFonts w:hint="eastAsia"/>
        </w:rPr>
        <w:t>中國邀印度共建海上絲綢之路</w:t>
      </w:r>
      <w:r>
        <w:rPr>
          <w:rFonts w:hint="eastAsia"/>
        </w:rPr>
        <w:t>」，</w:t>
      </w:r>
      <w:r>
        <w:rPr>
          <w:rFonts w:hint="eastAsia"/>
        </w:rPr>
        <w:t>2014</w:t>
      </w:r>
      <w:r>
        <w:rPr>
          <w:rFonts w:hint="eastAsia"/>
        </w:rPr>
        <w:t>年</w:t>
      </w:r>
      <w:r>
        <w:rPr>
          <w:rFonts w:hint="eastAsia"/>
        </w:rPr>
        <w:t>2</w:t>
      </w:r>
      <w:r>
        <w:rPr>
          <w:rFonts w:hint="eastAsia"/>
        </w:rPr>
        <w:t>月</w:t>
      </w:r>
      <w:r>
        <w:rPr>
          <w:rFonts w:hint="eastAsia"/>
        </w:rPr>
        <w:t>16</w:t>
      </w:r>
      <w:r>
        <w:rPr>
          <w:rFonts w:hint="eastAsia"/>
        </w:rPr>
        <w:t>日。</w:t>
      </w:r>
    </w:p>
    <w:p w:rsidR="00D955B5" w:rsidRPr="003317B6" w:rsidRDefault="00D955B5" w:rsidP="00D955B5">
      <w:pPr>
        <w:pStyle w:val="-"/>
        <w:numPr>
          <w:ilvl w:val="0"/>
          <w:numId w:val="7"/>
        </w:numPr>
        <w:spacing w:before="108" w:after="108"/>
        <w:ind w:firstLineChars="0"/>
      </w:pPr>
      <w:r>
        <w:rPr>
          <w:rFonts w:hint="eastAsia"/>
        </w:rPr>
        <w:t>東北網，「</w:t>
      </w:r>
      <w:r w:rsidRPr="003317B6">
        <w:rPr>
          <w:rFonts w:hint="eastAsia"/>
        </w:rPr>
        <w:t>十八屆三中全會《決定》解讀：充分認識擴大沿邊開放的戰略意義</w:t>
      </w:r>
      <w:r>
        <w:rPr>
          <w:rFonts w:hint="eastAsia"/>
        </w:rPr>
        <w:t>」，</w:t>
      </w:r>
      <w:r>
        <w:rPr>
          <w:rFonts w:hint="eastAsia"/>
        </w:rPr>
        <w:t>2014</w:t>
      </w:r>
      <w:r>
        <w:rPr>
          <w:rFonts w:hint="eastAsia"/>
        </w:rPr>
        <w:t>年</w:t>
      </w:r>
      <w:r>
        <w:rPr>
          <w:rFonts w:hint="eastAsia"/>
        </w:rPr>
        <w:t>1</w:t>
      </w:r>
      <w:r>
        <w:rPr>
          <w:rFonts w:hint="eastAsia"/>
        </w:rPr>
        <w:t>月</w:t>
      </w:r>
      <w:r>
        <w:rPr>
          <w:rFonts w:hint="eastAsia"/>
        </w:rPr>
        <w:t>23</w:t>
      </w:r>
      <w:r>
        <w:rPr>
          <w:rFonts w:hint="eastAsia"/>
        </w:rPr>
        <w:t>日。</w:t>
      </w:r>
    </w:p>
    <w:p w:rsidR="00D955B5" w:rsidRDefault="00D955B5" w:rsidP="00D955B5">
      <w:pPr>
        <w:pStyle w:val="-"/>
        <w:numPr>
          <w:ilvl w:val="0"/>
          <w:numId w:val="7"/>
        </w:numPr>
        <w:spacing w:before="108" w:after="108"/>
        <w:ind w:firstLineChars="0"/>
      </w:pPr>
      <w:r>
        <w:rPr>
          <w:rFonts w:hint="eastAsia"/>
        </w:rPr>
        <w:lastRenderedPageBreak/>
        <w:t>肯卓市場研究，「</w:t>
      </w:r>
      <w:r>
        <w:rPr>
          <w:rFonts w:hint="eastAsia"/>
        </w:rPr>
        <w:t xml:space="preserve">2013 </w:t>
      </w:r>
      <w:r>
        <w:rPr>
          <w:rFonts w:hint="eastAsia"/>
        </w:rPr>
        <w:t>年中國機器人產業市場動態研究報告」，</w:t>
      </w:r>
      <w:r>
        <w:rPr>
          <w:rFonts w:hint="eastAsia"/>
        </w:rPr>
        <w:t>2014</w:t>
      </w:r>
      <w:r>
        <w:rPr>
          <w:rFonts w:hint="eastAsia"/>
        </w:rPr>
        <w:t>年</w:t>
      </w:r>
      <w:r>
        <w:rPr>
          <w:rFonts w:hint="eastAsia"/>
        </w:rPr>
        <w:t>1</w:t>
      </w:r>
      <w:r>
        <w:rPr>
          <w:rFonts w:hint="eastAsia"/>
        </w:rPr>
        <w:t>月</w:t>
      </w:r>
      <w:r>
        <w:rPr>
          <w:rFonts w:hint="eastAsia"/>
        </w:rPr>
        <w:t>22</w:t>
      </w:r>
      <w:r>
        <w:rPr>
          <w:rFonts w:hint="eastAsia"/>
        </w:rPr>
        <w:t>日。</w:t>
      </w:r>
    </w:p>
    <w:p w:rsidR="00D955B5" w:rsidRDefault="00D955B5" w:rsidP="00D955B5">
      <w:pPr>
        <w:pStyle w:val="-"/>
        <w:numPr>
          <w:ilvl w:val="0"/>
          <w:numId w:val="7"/>
        </w:numPr>
        <w:spacing w:before="108" w:after="108"/>
        <w:ind w:firstLineChars="0"/>
      </w:pPr>
      <w:r>
        <w:rPr>
          <w:rFonts w:hint="eastAsia"/>
        </w:rPr>
        <w:t>南方日報，「</w:t>
      </w:r>
      <w:r w:rsidRPr="00095DBA">
        <w:rPr>
          <w:rFonts w:hint="eastAsia"/>
        </w:rPr>
        <w:t>中國向“海岸經濟”與“陸橋經濟”雙極並舉轉變</w:t>
      </w:r>
      <w:r>
        <w:rPr>
          <w:rFonts w:hint="eastAsia"/>
        </w:rPr>
        <w:t>」，</w:t>
      </w:r>
      <w:r>
        <w:rPr>
          <w:rFonts w:hint="eastAsia"/>
        </w:rPr>
        <w:t>2014</w:t>
      </w:r>
      <w:r>
        <w:rPr>
          <w:rFonts w:hint="eastAsia"/>
        </w:rPr>
        <w:t>年</w:t>
      </w:r>
      <w:r>
        <w:rPr>
          <w:rFonts w:hint="eastAsia"/>
        </w:rPr>
        <w:t>7</w:t>
      </w:r>
      <w:r>
        <w:rPr>
          <w:rFonts w:hint="eastAsia"/>
        </w:rPr>
        <w:t>月</w:t>
      </w:r>
      <w:r>
        <w:rPr>
          <w:rFonts w:hint="eastAsia"/>
        </w:rPr>
        <w:t>21</w:t>
      </w:r>
      <w:r>
        <w:rPr>
          <w:rFonts w:hint="eastAsia"/>
        </w:rPr>
        <w:t>日。</w:t>
      </w:r>
    </w:p>
    <w:p w:rsidR="00D955B5" w:rsidRDefault="00D955B5" w:rsidP="00D955B5">
      <w:pPr>
        <w:pStyle w:val="-"/>
        <w:numPr>
          <w:ilvl w:val="0"/>
          <w:numId w:val="7"/>
        </w:numPr>
        <w:spacing w:before="108" w:after="108"/>
        <w:ind w:firstLineChars="0"/>
      </w:pPr>
      <w:r>
        <w:rPr>
          <w:rFonts w:hint="eastAsia"/>
        </w:rPr>
        <w:t>南方日報，「泛珠全面升級：從省際的鬆散合作到整體協同發展」，</w:t>
      </w:r>
      <w:r>
        <w:rPr>
          <w:rFonts w:hint="eastAsia"/>
        </w:rPr>
        <w:t>2014</w:t>
      </w:r>
      <w:r>
        <w:rPr>
          <w:rFonts w:hint="eastAsia"/>
        </w:rPr>
        <w:t>年</w:t>
      </w:r>
      <w:r>
        <w:rPr>
          <w:rFonts w:hint="eastAsia"/>
        </w:rPr>
        <w:t>7</w:t>
      </w:r>
      <w:r>
        <w:rPr>
          <w:rFonts w:hint="eastAsia"/>
        </w:rPr>
        <w:t>月</w:t>
      </w:r>
      <w:r>
        <w:rPr>
          <w:rFonts w:hint="eastAsia"/>
        </w:rPr>
        <w:t>17</w:t>
      </w:r>
      <w:r>
        <w:rPr>
          <w:rFonts w:hint="eastAsia"/>
        </w:rPr>
        <w:t>日。</w:t>
      </w:r>
    </w:p>
    <w:p w:rsidR="00D955B5" w:rsidRDefault="00D955B5" w:rsidP="00D955B5">
      <w:pPr>
        <w:pStyle w:val="-"/>
        <w:numPr>
          <w:ilvl w:val="0"/>
          <w:numId w:val="7"/>
        </w:numPr>
        <w:spacing w:before="108" w:after="108"/>
        <w:ind w:firstLineChars="0"/>
      </w:pPr>
      <w:r>
        <w:rPr>
          <w:rFonts w:hint="eastAsia"/>
        </w:rPr>
        <w:t>南華早報，「</w:t>
      </w:r>
      <w:r w:rsidRPr="0034354F">
        <w:rPr>
          <w:rFonts w:hint="eastAsia"/>
        </w:rPr>
        <w:t>李克強訪歐</w:t>
      </w:r>
      <w:r w:rsidRPr="0034354F">
        <w:rPr>
          <w:rFonts w:hint="eastAsia"/>
        </w:rPr>
        <w:t xml:space="preserve"> </w:t>
      </w:r>
      <w:r w:rsidRPr="0034354F">
        <w:rPr>
          <w:rFonts w:hint="eastAsia"/>
        </w:rPr>
        <w:t>望借助經濟增加中國外交影響力</w:t>
      </w:r>
      <w:r>
        <w:rPr>
          <w:rFonts w:hint="eastAsia"/>
        </w:rPr>
        <w:t>」，</w:t>
      </w:r>
      <w:r w:rsidRPr="00F6650C">
        <w:rPr>
          <w:rFonts w:hint="eastAsia"/>
        </w:rPr>
        <w:t>201</w:t>
      </w:r>
      <w:r>
        <w:rPr>
          <w:rFonts w:hint="eastAsia"/>
        </w:rPr>
        <w:t>4</w:t>
      </w:r>
      <w:r w:rsidRPr="00F6650C">
        <w:rPr>
          <w:rFonts w:hint="eastAsia"/>
        </w:rPr>
        <w:t>年</w:t>
      </w:r>
      <w:r w:rsidRPr="00F6650C">
        <w:rPr>
          <w:rFonts w:hint="eastAsia"/>
        </w:rPr>
        <w:t>1</w:t>
      </w:r>
      <w:r>
        <w:rPr>
          <w:rFonts w:hint="eastAsia"/>
        </w:rPr>
        <w:t>0</w:t>
      </w:r>
      <w:r>
        <w:rPr>
          <w:rFonts w:hint="eastAsia"/>
        </w:rPr>
        <w:t>月</w:t>
      </w:r>
      <w:r>
        <w:rPr>
          <w:rFonts w:hint="eastAsia"/>
        </w:rPr>
        <w:t>17</w:t>
      </w:r>
      <w:r>
        <w:rPr>
          <w:rFonts w:hint="eastAsia"/>
        </w:rPr>
        <w:t>日。</w:t>
      </w:r>
    </w:p>
    <w:p w:rsidR="00D955B5" w:rsidRDefault="00D955B5" w:rsidP="00D955B5">
      <w:pPr>
        <w:pStyle w:val="-"/>
        <w:numPr>
          <w:ilvl w:val="0"/>
          <w:numId w:val="7"/>
        </w:numPr>
        <w:spacing w:before="108" w:after="108"/>
        <w:ind w:firstLineChars="0"/>
      </w:pPr>
      <w:r>
        <w:rPr>
          <w:rFonts w:hint="eastAsia"/>
        </w:rPr>
        <w:t>南華早報，「習近平「一號工程」：京津冀抱團」，</w:t>
      </w:r>
      <w:r>
        <w:rPr>
          <w:rFonts w:hint="eastAsia"/>
        </w:rPr>
        <w:t>2014</w:t>
      </w:r>
      <w:r>
        <w:rPr>
          <w:rFonts w:hint="eastAsia"/>
        </w:rPr>
        <w:t>年</w:t>
      </w:r>
      <w:r>
        <w:rPr>
          <w:rFonts w:hint="eastAsia"/>
        </w:rPr>
        <w:t>3</w:t>
      </w:r>
      <w:r>
        <w:rPr>
          <w:rFonts w:hint="eastAsia"/>
        </w:rPr>
        <w:t>月</w:t>
      </w:r>
      <w:r>
        <w:rPr>
          <w:rFonts w:hint="eastAsia"/>
        </w:rPr>
        <w:t>10</w:t>
      </w:r>
      <w:r>
        <w:rPr>
          <w:rFonts w:hint="eastAsia"/>
        </w:rPr>
        <w:t>日。</w:t>
      </w:r>
    </w:p>
    <w:p w:rsidR="00D955B5" w:rsidRDefault="00D955B5" w:rsidP="00D955B5">
      <w:pPr>
        <w:pStyle w:val="-"/>
        <w:numPr>
          <w:ilvl w:val="0"/>
          <w:numId w:val="7"/>
        </w:numPr>
        <w:spacing w:before="108" w:after="108"/>
        <w:ind w:firstLineChars="0"/>
      </w:pPr>
      <w:r>
        <w:rPr>
          <w:rFonts w:hint="eastAsia"/>
        </w:rPr>
        <w:t>科技新報，「南韓機器人產業，將創造</w:t>
      </w:r>
      <w:r>
        <w:rPr>
          <w:rFonts w:hint="eastAsia"/>
        </w:rPr>
        <w:t xml:space="preserve"> 3.4 </w:t>
      </w:r>
      <w:r>
        <w:rPr>
          <w:rFonts w:hint="eastAsia"/>
        </w:rPr>
        <w:t>萬工作機會」，</w:t>
      </w:r>
      <w:r>
        <w:rPr>
          <w:rFonts w:hint="eastAsia"/>
        </w:rPr>
        <w:t>2014</w:t>
      </w:r>
      <w:r>
        <w:rPr>
          <w:rFonts w:hint="eastAsia"/>
        </w:rPr>
        <w:t>年</w:t>
      </w:r>
      <w:r>
        <w:rPr>
          <w:rFonts w:hint="eastAsia"/>
        </w:rPr>
        <w:t>9</w:t>
      </w:r>
      <w:r>
        <w:rPr>
          <w:rFonts w:hint="eastAsia"/>
        </w:rPr>
        <w:t>月</w:t>
      </w:r>
      <w:r>
        <w:rPr>
          <w:rFonts w:hint="eastAsia"/>
        </w:rPr>
        <w:t>15</w:t>
      </w:r>
      <w:r>
        <w:rPr>
          <w:rFonts w:hint="eastAsia"/>
        </w:rPr>
        <w:t>日。</w:t>
      </w:r>
    </w:p>
    <w:p w:rsidR="00D955B5" w:rsidRDefault="00D955B5" w:rsidP="00D955B5">
      <w:pPr>
        <w:pStyle w:val="-"/>
        <w:numPr>
          <w:ilvl w:val="0"/>
          <w:numId w:val="7"/>
        </w:numPr>
        <w:spacing w:before="108" w:after="108"/>
        <w:ind w:firstLineChars="0"/>
      </w:pPr>
      <w:r>
        <w:rPr>
          <w:rFonts w:hint="eastAsia"/>
        </w:rPr>
        <w:t>科技新報，「新世代工業機器人－解放勞工、與人合作的智慧夥伴」，</w:t>
      </w:r>
      <w:r>
        <w:rPr>
          <w:rFonts w:hint="eastAsia"/>
        </w:rPr>
        <w:t>2014</w:t>
      </w:r>
      <w:r>
        <w:rPr>
          <w:rFonts w:hint="eastAsia"/>
        </w:rPr>
        <w:t>年</w:t>
      </w:r>
      <w:r>
        <w:rPr>
          <w:rFonts w:hint="eastAsia"/>
        </w:rPr>
        <w:t>7</w:t>
      </w:r>
      <w:r>
        <w:rPr>
          <w:rFonts w:hint="eastAsia"/>
        </w:rPr>
        <w:t>月</w:t>
      </w:r>
      <w:r>
        <w:rPr>
          <w:rFonts w:hint="eastAsia"/>
        </w:rPr>
        <w:t>6</w:t>
      </w:r>
      <w:r>
        <w:rPr>
          <w:rFonts w:hint="eastAsia"/>
        </w:rPr>
        <w:t>日。</w:t>
      </w:r>
    </w:p>
    <w:p w:rsidR="00D955B5" w:rsidRDefault="00D955B5" w:rsidP="00D955B5">
      <w:pPr>
        <w:pStyle w:val="-"/>
        <w:numPr>
          <w:ilvl w:val="0"/>
          <w:numId w:val="7"/>
        </w:numPr>
        <w:spacing w:before="108" w:after="108"/>
        <w:ind w:firstLineChars="0"/>
      </w:pPr>
      <w:r>
        <w:rPr>
          <w:rFonts w:hint="eastAsia"/>
        </w:rPr>
        <w:t>財經國家週刊，「中國特區圖譜」，</w:t>
      </w:r>
      <w:r>
        <w:rPr>
          <w:rFonts w:hint="eastAsia"/>
        </w:rPr>
        <w:t>2013</w:t>
      </w:r>
      <w:r>
        <w:rPr>
          <w:rFonts w:hint="eastAsia"/>
        </w:rPr>
        <w:t>年</w:t>
      </w:r>
      <w:r>
        <w:rPr>
          <w:rFonts w:hint="eastAsia"/>
        </w:rPr>
        <w:t>10</w:t>
      </w:r>
      <w:r>
        <w:rPr>
          <w:rFonts w:hint="eastAsia"/>
        </w:rPr>
        <w:t>月</w:t>
      </w:r>
      <w:r>
        <w:rPr>
          <w:rFonts w:hint="eastAsia"/>
        </w:rPr>
        <w:t>28</w:t>
      </w:r>
      <w:r>
        <w:rPr>
          <w:rFonts w:hint="eastAsia"/>
        </w:rPr>
        <w:t>日。</w:t>
      </w:r>
    </w:p>
    <w:p w:rsidR="00D955B5" w:rsidRDefault="00D955B5" w:rsidP="00D955B5">
      <w:pPr>
        <w:pStyle w:val="-"/>
        <w:numPr>
          <w:ilvl w:val="0"/>
          <w:numId w:val="7"/>
        </w:numPr>
        <w:spacing w:before="108" w:after="108"/>
        <w:ind w:firstLineChars="0"/>
      </w:pPr>
      <w:r>
        <w:rPr>
          <w:rFonts w:hint="eastAsia"/>
        </w:rPr>
        <w:t>財經國家週刊，「特區外套下的改革」，</w:t>
      </w:r>
      <w:r>
        <w:rPr>
          <w:rFonts w:hint="eastAsia"/>
        </w:rPr>
        <w:t>2013</w:t>
      </w:r>
      <w:r>
        <w:rPr>
          <w:rFonts w:hint="eastAsia"/>
        </w:rPr>
        <w:t>年</w:t>
      </w:r>
      <w:r>
        <w:rPr>
          <w:rFonts w:hint="eastAsia"/>
        </w:rPr>
        <w:t>10</w:t>
      </w:r>
      <w:r>
        <w:rPr>
          <w:rFonts w:hint="eastAsia"/>
        </w:rPr>
        <w:t>月</w:t>
      </w:r>
      <w:r>
        <w:rPr>
          <w:rFonts w:hint="eastAsia"/>
        </w:rPr>
        <w:t>28</w:t>
      </w:r>
      <w:r>
        <w:rPr>
          <w:rFonts w:hint="eastAsia"/>
        </w:rPr>
        <w:t>日。</w:t>
      </w:r>
    </w:p>
    <w:p w:rsidR="00D955B5" w:rsidRDefault="00D955B5" w:rsidP="00D955B5">
      <w:pPr>
        <w:pStyle w:val="-"/>
        <w:numPr>
          <w:ilvl w:val="0"/>
          <w:numId w:val="7"/>
        </w:numPr>
        <w:spacing w:before="108" w:after="108"/>
        <w:ind w:firstLineChars="0"/>
      </w:pPr>
      <w:r>
        <w:rPr>
          <w:rFonts w:hint="eastAsia"/>
        </w:rPr>
        <w:t>財團法人工業技術研究院，「</w:t>
      </w:r>
      <w:r>
        <w:rPr>
          <w:rFonts w:hint="eastAsia"/>
        </w:rPr>
        <w:t>2014</w:t>
      </w:r>
      <w:r>
        <w:rPr>
          <w:rFonts w:hint="eastAsia"/>
        </w:rPr>
        <w:t>機械產業年鑑」，</w:t>
      </w:r>
      <w:r>
        <w:rPr>
          <w:rFonts w:hint="eastAsia"/>
        </w:rPr>
        <w:t>2014</w:t>
      </w:r>
      <w:r>
        <w:rPr>
          <w:rFonts w:hint="eastAsia"/>
        </w:rPr>
        <w:t>年</w:t>
      </w:r>
      <w:r>
        <w:rPr>
          <w:rFonts w:hint="eastAsia"/>
        </w:rPr>
        <w:t>5</w:t>
      </w:r>
      <w:r>
        <w:rPr>
          <w:rFonts w:hint="eastAsia"/>
        </w:rPr>
        <w:t>月日。</w:t>
      </w:r>
    </w:p>
    <w:p w:rsidR="00D955B5" w:rsidRDefault="00D955B5" w:rsidP="00D955B5">
      <w:pPr>
        <w:pStyle w:val="-"/>
        <w:numPr>
          <w:ilvl w:val="0"/>
          <w:numId w:val="7"/>
        </w:numPr>
        <w:spacing w:before="108" w:after="108"/>
        <w:ind w:firstLineChars="0"/>
      </w:pPr>
      <w:r>
        <w:rPr>
          <w:rFonts w:hint="eastAsia"/>
        </w:rPr>
        <w:t>財團法人資訊工業策進會，「評歐盟推出機器人發展計畫</w:t>
      </w:r>
      <w:r>
        <w:rPr>
          <w:rFonts w:hint="eastAsia"/>
        </w:rPr>
        <w:t>SPARC</w:t>
      </w:r>
      <w:r>
        <w:rPr>
          <w:rFonts w:hint="eastAsia"/>
        </w:rPr>
        <w:t>之意涵」，</w:t>
      </w:r>
      <w:r>
        <w:rPr>
          <w:rFonts w:hint="eastAsia"/>
        </w:rPr>
        <w:t>2014</w:t>
      </w:r>
      <w:r>
        <w:rPr>
          <w:rFonts w:hint="eastAsia"/>
        </w:rPr>
        <w:t>年</w:t>
      </w:r>
      <w:r>
        <w:rPr>
          <w:rFonts w:hint="eastAsia"/>
        </w:rPr>
        <w:t>9</w:t>
      </w:r>
      <w:r>
        <w:rPr>
          <w:rFonts w:hint="eastAsia"/>
        </w:rPr>
        <w:t>月。</w:t>
      </w:r>
    </w:p>
    <w:p w:rsidR="00D955B5" w:rsidRDefault="00D955B5" w:rsidP="00D955B5">
      <w:pPr>
        <w:pStyle w:val="-"/>
        <w:numPr>
          <w:ilvl w:val="0"/>
          <w:numId w:val="7"/>
        </w:numPr>
        <w:spacing w:before="108" w:after="108"/>
        <w:ind w:firstLineChars="0"/>
      </w:pPr>
      <w:r>
        <w:rPr>
          <w:rFonts w:hint="eastAsia"/>
        </w:rPr>
        <w:t>國際機器人工業聯合會</w:t>
      </w:r>
      <w:r>
        <w:rPr>
          <w:rFonts w:hint="eastAsia"/>
        </w:rPr>
        <w:t>(IFR)</w:t>
      </w:r>
      <w:r>
        <w:rPr>
          <w:rFonts w:hint="eastAsia"/>
        </w:rPr>
        <w:t>，新聞發布，</w:t>
      </w:r>
      <w:r>
        <w:rPr>
          <w:rFonts w:hint="eastAsia"/>
        </w:rPr>
        <w:t>2013</w:t>
      </w:r>
      <w:r>
        <w:rPr>
          <w:rFonts w:hint="eastAsia"/>
        </w:rPr>
        <w:t>年</w:t>
      </w:r>
      <w:r>
        <w:rPr>
          <w:rFonts w:hint="eastAsia"/>
        </w:rPr>
        <w:t>7</w:t>
      </w:r>
      <w:r>
        <w:rPr>
          <w:rFonts w:hint="eastAsia"/>
        </w:rPr>
        <w:t>月</w:t>
      </w:r>
      <w:r>
        <w:rPr>
          <w:rFonts w:hint="eastAsia"/>
        </w:rPr>
        <w:t>1</w:t>
      </w:r>
      <w:r>
        <w:rPr>
          <w:rFonts w:hint="eastAsia"/>
        </w:rPr>
        <w:t>日。</w:t>
      </w:r>
    </w:p>
    <w:p w:rsidR="00D955B5" w:rsidRDefault="00D955B5" w:rsidP="00D955B5">
      <w:pPr>
        <w:pStyle w:val="-"/>
        <w:numPr>
          <w:ilvl w:val="0"/>
          <w:numId w:val="7"/>
        </w:numPr>
        <w:spacing w:before="108" w:after="108"/>
        <w:ind w:firstLineChars="0"/>
      </w:pPr>
      <w:r>
        <w:rPr>
          <w:rFonts w:hint="eastAsia"/>
        </w:rPr>
        <w:t>張偉、楊文碩（</w:t>
      </w:r>
      <w:r>
        <w:rPr>
          <w:rFonts w:hint="eastAsia"/>
        </w:rPr>
        <w:t>2014</w:t>
      </w:r>
      <w:r>
        <w:rPr>
          <w:rFonts w:hint="eastAsia"/>
        </w:rPr>
        <w:t>），「上海自貿區金融開放的定位與路徑分析—兼與香港自由港金融演進路徑比較」，《商業研究》，</w:t>
      </w:r>
      <w:r>
        <w:rPr>
          <w:rFonts w:hint="eastAsia"/>
        </w:rPr>
        <w:t>2014</w:t>
      </w:r>
      <w:r>
        <w:rPr>
          <w:rFonts w:hint="eastAsia"/>
        </w:rPr>
        <w:t>年第</w:t>
      </w:r>
      <w:r>
        <w:rPr>
          <w:rFonts w:hint="eastAsia"/>
        </w:rPr>
        <w:t>441</w:t>
      </w:r>
      <w:r>
        <w:rPr>
          <w:rFonts w:hint="eastAsia"/>
        </w:rPr>
        <w:t>期。</w:t>
      </w:r>
    </w:p>
    <w:p w:rsidR="00D955B5" w:rsidRDefault="00D955B5" w:rsidP="00D955B5">
      <w:pPr>
        <w:pStyle w:val="-"/>
        <w:numPr>
          <w:ilvl w:val="0"/>
          <w:numId w:val="7"/>
        </w:numPr>
        <w:spacing w:before="108" w:after="108"/>
        <w:ind w:firstLineChars="0"/>
      </w:pPr>
      <w:r>
        <w:rPr>
          <w:rFonts w:hint="eastAsia"/>
        </w:rPr>
        <w:t>曾復生，「習近平的國際戰略布局」，</w:t>
      </w:r>
      <w:r>
        <w:rPr>
          <w:rFonts w:hint="eastAsia"/>
        </w:rPr>
        <w:t>2014</w:t>
      </w:r>
      <w:r>
        <w:rPr>
          <w:rFonts w:hint="eastAsia"/>
        </w:rPr>
        <w:t>年</w:t>
      </w:r>
      <w:r>
        <w:rPr>
          <w:rFonts w:hint="eastAsia"/>
        </w:rPr>
        <w:t>1</w:t>
      </w:r>
      <w:r>
        <w:rPr>
          <w:rFonts w:hint="eastAsia"/>
        </w:rPr>
        <w:t>月</w:t>
      </w:r>
      <w:r>
        <w:rPr>
          <w:rFonts w:hint="eastAsia"/>
        </w:rPr>
        <w:t>3</w:t>
      </w:r>
      <w:r>
        <w:rPr>
          <w:rFonts w:hint="eastAsia"/>
        </w:rPr>
        <w:t>日。</w:t>
      </w:r>
    </w:p>
    <w:p w:rsidR="00D955B5" w:rsidRPr="00DA57CC" w:rsidRDefault="00D955B5" w:rsidP="00D955B5">
      <w:pPr>
        <w:pStyle w:val="-"/>
        <w:numPr>
          <w:ilvl w:val="0"/>
          <w:numId w:val="7"/>
        </w:numPr>
        <w:spacing w:before="108" w:after="108"/>
        <w:ind w:firstLineChars="0"/>
      </w:pPr>
      <w:r>
        <w:rPr>
          <w:rFonts w:hint="eastAsia"/>
        </w:rPr>
        <w:t>華爾街，「</w:t>
      </w:r>
      <w:r w:rsidRPr="00DA57CC">
        <w:rPr>
          <w:rFonts w:hint="eastAsia"/>
        </w:rPr>
        <w:t>朱光耀暗示中國決意忍受短痛來推進改革</w:t>
      </w:r>
      <w:r>
        <w:rPr>
          <w:rFonts w:hint="eastAsia"/>
        </w:rPr>
        <w:t>」，</w:t>
      </w:r>
      <w:r>
        <w:rPr>
          <w:rFonts w:hint="eastAsia"/>
        </w:rPr>
        <w:t>2014</w:t>
      </w:r>
      <w:r>
        <w:rPr>
          <w:rFonts w:hint="eastAsia"/>
        </w:rPr>
        <w:t>年</w:t>
      </w:r>
      <w:r>
        <w:rPr>
          <w:rFonts w:hint="eastAsia"/>
        </w:rPr>
        <w:t>4</w:t>
      </w:r>
      <w:r>
        <w:rPr>
          <w:rFonts w:hint="eastAsia"/>
        </w:rPr>
        <w:t>月</w:t>
      </w:r>
      <w:r>
        <w:rPr>
          <w:rFonts w:hint="eastAsia"/>
        </w:rPr>
        <w:t>14</w:t>
      </w:r>
      <w:r>
        <w:rPr>
          <w:rFonts w:hint="eastAsia"/>
        </w:rPr>
        <w:lastRenderedPageBreak/>
        <w:t>日。</w:t>
      </w:r>
    </w:p>
    <w:p w:rsidR="00D955B5" w:rsidRDefault="00D955B5" w:rsidP="00D955B5">
      <w:pPr>
        <w:pStyle w:val="-"/>
        <w:numPr>
          <w:ilvl w:val="0"/>
          <w:numId w:val="7"/>
        </w:numPr>
        <w:spacing w:before="108" w:after="108"/>
        <w:ind w:firstLineChars="0"/>
      </w:pPr>
      <w:r>
        <w:rPr>
          <w:rFonts w:hint="eastAsia"/>
        </w:rPr>
        <w:t>華爾街日報，「中國為何在電子製造自動化中落於人後」，</w:t>
      </w:r>
      <w:r>
        <w:rPr>
          <w:rFonts w:hint="eastAsia"/>
        </w:rPr>
        <w:t>2014</w:t>
      </w:r>
      <w:r>
        <w:rPr>
          <w:rFonts w:hint="eastAsia"/>
        </w:rPr>
        <w:t>年</w:t>
      </w:r>
      <w:r>
        <w:rPr>
          <w:rFonts w:hint="eastAsia"/>
        </w:rPr>
        <w:t>8</w:t>
      </w:r>
      <w:r>
        <w:rPr>
          <w:rFonts w:hint="eastAsia"/>
        </w:rPr>
        <w:t>月</w:t>
      </w:r>
      <w:r>
        <w:rPr>
          <w:rFonts w:hint="eastAsia"/>
        </w:rPr>
        <w:t>25</w:t>
      </w:r>
      <w:r>
        <w:rPr>
          <w:rFonts w:hint="eastAsia"/>
        </w:rPr>
        <w:t>日。</w:t>
      </w:r>
    </w:p>
    <w:p w:rsidR="00D955B5" w:rsidRDefault="00D955B5" w:rsidP="00D955B5">
      <w:pPr>
        <w:pStyle w:val="-"/>
        <w:numPr>
          <w:ilvl w:val="0"/>
          <w:numId w:val="7"/>
        </w:numPr>
        <w:spacing w:before="108" w:after="108"/>
        <w:ind w:firstLineChars="0"/>
      </w:pPr>
      <w:r w:rsidRPr="00F73315">
        <w:rPr>
          <w:rFonts w:hint="eastAsia"/>
        </w:rPr>
        <w:t>新浪財經網，「一帶一路戰略應分階段實施</w:t>
      </w:r>
      <w:r w:rsidRPr="00F73315">
        <w:rPr>
          <w:rFonts w:hint="eastAsia"/>
        </w:rPr>
        <w:t xml:space="preserve"> </w:t>
      </w:r>
      <w:r w:rsidRPr="00F73315">
        <w:rPr>
          <w:rFonts w:hint="eastAsia"/>
        </w:rPr>
        <w:t>總體規劃本月上報國務院」，</w:t>
      </w:r>
      <w:r w:rsidRPr="00F73315">
        <w:rPr>
          <w:rFonts w:hint="eastAsia"/>
        </w:rPr>
        <w:t>2014</w:t>
      </w:r>
      <w:r w:rsidRPr="00F73315">
        <w:rPr>
          <w:rFonts w:hint="eastAsia"/>
        </w:rPr>
        <w:t>年</w:t>
      </w:r>
      <w:r w:rsidRPr="00F73315">
        <w:rPr>
          <w:rFonts w:hint="eastAsia"/>
        </w:rPr>
        <w:t>10</w:t>
      </w:r>
      <w:r w:rsidRPr="00F73315">
        <w:rPr>
          <w:rFonts w:hint="eastAsia"/>
        </w:rPr>
        <w:t>月</w:t>
      </w:r>
      <w:r w:rsidRPr="00F73315">
        <w:rPr>
          <w:rFonts w:hint="eastAsia"/>
        </w:rPr>
        <w:t>22</w:t>
      </w:r>
      <w:r w:rsidRPr="00F73315">
        <w:rPr>
          <w:rFonts w:hint="eastAsia"/>
        </w:rPr>
        <w:t>日。</w:t>
      </w:r>
    </w:p>
    <w:p w:rsidR="00D955B5" w:rsidRDefault="00D955B5" w:rsidP="00D955B5">
      <w:pPr>
        <w:pStyle w:val="-"/>
        <w:numPr>
          <w:ilvl w:val="0"/>
          <w:numId w:val="7"/>
        </w:numPr>
        <w:spacing w:before="108" w:after="108"/>
        <w:ind w:firstLineChars="0"/>
      </w:pPr>
      <w:r>
        <w:rPr>
          <w:rFonts w:hint="eastAsia"/>
        </w:rPr>
        <w:t>新華網，「中共中央關於全面深化改革若干重大問題的決定」，</w:t>
      </w:r>
      <w:r>
        <w:rPr>
          <w:rFonts w:hint="eastAsia"/>
        </w:rPr>
        <w:t>2013</w:t>
      </w:r>
      <w:r>
        <w:rPr>
          <w:rFonts w:hint="eastAsia"/>
        </w:rPr>
        <w:t>年</w:t>
      </w:r>
      <w:r>
        <w:rPr>
          <w:rFonts w:hint="eastAsia"/>
        </w:rPr>
        <w:t>11</w:t>
      </w:r>
      <w:r>
        <w:rPr>
          <w:rFonts w:hint="eastAsia"/>
        </w:rPr>
        <w:t>月</w:t>
      </w:r>
      <w:r>
        <w:rPr>
          <w:rFonts w:hint="eastAsia"/>
        </w:rPr>
        <w:t>15</w:t>
      </w:r>
      <w:r>
        <w:rPr>
          <w:rFonts w:hint="eastAsia"/>
        </w:rPr>
        <w:t>日。</w:t>
      </w:r>
    </w:p>
    <w:p w:rsidR="00D955B5" w:rsidRDefault="00D955B5" w:rsidP="00D955B5">
      <w:pPr>
        <w:pStyle w:val="-"/>
        <w:numPr>
          <w:ilvl w:val="0"/>
          <w:numId w:val="7"/>
        </w:numPr>
        <w:spacing w:before="108" w:after="108"/>
        <w:ind w:firstLineChars="0"/>
      </w:pPr>
      <w:r>
        <w:rPr>
          <w:rFonts w:hint="eastAsia"/>
        </w:rPr>
        <w:t>新華網，「</w:t>
      </w:r>
      <w:r w:rsidRPr="0034354F">
        <w:rPr>
          <w:rFonts w:hint="eastAsia"/>
        </w:rPr>
        <w:t>專家解讀《中德合作行動綱要》：中德共塑創新未來</w:t>
      </w:r>
      <w:r>
        <w:rPr>
          <w:rFonts w:hint="eastAsia"/>
        </w:rPr>
        <w:t>」，</w:t>
      </w:r>
      <w:r w:rsidRPr="00F6650C">
        <w:rPr>
          <w:rFonts w:hint="eastAsia"/>
        </w:rPr>
        <w:t>201</w:t>
      </w:r>
      <w:r>
        <w:rPr>
          <w:rFonts w:hint="eastAsia"/>
        </w:rPr>
        <w:t>4</w:t>
      </w:r>
      <w:r w:rsidRPr="00F6650C">
        <w:rPr>
          <w:rFonts w:hint="eastAsia"/>
        </w:rPr>
        <w:t>年</w:t>
      </w:r>
      <w:r w:rsidRPr="00F6650C">
        <w:rPr>
          <w:rFonts w:hint="eastAsia"/>
        </w:rPr>
        <w:t>1</w:t>
      </w:r>
      <w:r>
        <w:rPr>
          <w:rFonts w:hint="eastAsia"/>
        </w:rPr>
        <w:t>0</w:t>
      </w:r>
      <w:r>
        <w:rPr>
          <w:rFonts w:hint="eastAsia"/>
        </w:rPr>
        <w:t>月</w:t>
      </w:r>
      <w:r>
        <w:rPr>
          <w:rFonts w:hint="eastAsia"/>
        </w:rPr>
        <w:t>13</w:t>
      </w:r>
      <w:r>
        <w:rPr>
          <w:rFonts w:hint="eastAsia"/>
        </w:rPr>
        <w:t>日。</w:t>
      </w:r>
    </w:p>
    <w:p w:rsidR="00D955B5" w:rsidRDefault="00D955B5" w:rsidP="00D955B5">
      <w:pPr>
        <w:pStyle w:val="-"/>
        <w:numPr>
          <w:ilvl w:val="0"/>
          <w:numId w:val="7"/>
        </w:numPr>
        <w:spacing w:before="108" w:after="108"/>
        <w:ind w:firstLineChars="0"/>
      </w:pPr>
      <w:r>
        <w:rPr>
          <w:rFonts w:hint="eastAsia"/>
        </w:rPr>
        <w:t>新華網，「</w:t>
      </w:r>
      <w:r w:rsidRPr="004A486F">
        <w:rPr>
          <w:rFonts w:hint="eastAsia"/>
        </w:rPr>
        <w:t>新型城鎮化規劃：轉型之路風向標</w:t>
      </w:r>
      <w:r>
        <w:rPr>
          <w:rFonts w:hint="eastAsia"/>
        </w:rPr>
        <w:t>」，</w:t>
      </w:r>
      <w:r>
        <w:rPr>
          <w:rFonts w:hint="eastAsia"/>
        </w:rPr>
        <w:t>2014</w:t>
      </w:r>
      <w:r>
        <w:rPr>
          <w:rFonts w:hint="eastAsia"/>
        </w:rPr>
        <w:t>年</w:t>
      </w:r>
      <w:r>
        <w:rPr>
          <w:rFonts w:hint="eastAsia"/>
        </w:rPr>
        <w:t>4</w:t>
      </w:r>
      <w:r>
        <w:rPr>
          <w:rFonts w:hint="eastAsia"/>
        </w:rPr>
        <w:t>月</w:t>
      </w:r>
      <w:r>
        <w:rPr>
          <w:rFonts w:hint="eastAsia"/>
        </w:rPr>
        <w:t>1</w:t>
      </w:r>
      <w:r>
        <w:rPr>
          <w:rFonts w:hint="eastAsia"/>
        </w:rPr>
        <w:t>日。</w:t>
      </w:r>
    </w:p>
    <w:p w:rsidR="00D955B5" w:rsidRDefault="00D955B5" w:rsidP="00D955B5">
      <w:pPr>
        <w:pStyle w:val="-"/>
        <w:numPr>
          <w:ilvl w:val="0"/>
          <w:numId w:val="7"/>
        </w:numPr>
        <w:spacing w:before="108" w:after="108"/>
        <w:ind w:firstLineChars="0"/>
      </w:pPr>
      <w:r>
        <w:rPr>
          <w:rFonts w:hint="eastAsia"/>
        </w:rPr>
        <w:t>新華網，「營改增助力經濟升級」，</w:t>
      </w:r>
      <w:r w:rsidRPr="00F6650C">
        <w:rPr>
          <w:rFonts w:hint="eastAsia"/>
        </w:rPr>
        <w:t>2013</w:t>
      </w:r>
      <w:r w:rsidRPr="00F6650C">
        <w:rPr>
          <w:rFonts w:hint="eastAsia"/>
        </w:rPr>
        <w:t>年</w:t>
      </w:r>
      <w:r w:rsidRPr="00F6650C">
        <w:rPr>
          <w:rFonts w:hint="eastAsia"/>
        </w:rPr>
        <w:t>11</w:t>
      </w:r>
      <w:r>
        <w:rPr>
          <w:rFonts w:hint="eastAsia"/>
        </w:rPr>
        <w:t>月</w:t>
      </w:r>
      <w:r>
        <w:rPr>
          <w:rFonts w:hint="eastAsia"/>
        </w:rPr>
        <w:t>20</w:t>
      </w:r>
      <w:r>
        <w:rPr>
          <w:rFonts w:hint="eastAsia"/>
        </w:rPr>
        <w:t>日。</w:t>
      </w:r>
    </w:p>
    <w:p w:rsidR="00D955B5" w:rsidRDefault="00D955B5" w:rsidP="00D955B5">
      <w:pPr>
        <w:pStyle w:val="-"/>
        <w:numPr>
          <w:ilvl w:val="0"/>
          <w:numId w:val="7"/>
        </w:numPr>
        <w:spacing w:before="108" w:after="108"/>
        <w:ind w:firstLineChars="0"/>
      </w:pPr>
      <w:r>
        <w:rPr>
          <w:rFonts w:hint="eastAsia"/>
        </w:rPr>
        <w:t>新電子，「工業</w:t>
      </w:r>
      <w:r>
        <w:rPr>
          <w:rFonts w:hint="eastAsia"/>
        </w:rPr>
        <w:t>/</w:t>
      </w:r>
      <w:r>
        <w:rPr>
          <w:rFonts w:hint="eastAsia"/>
        </w:rPr>
        <w:t>服務型應用需求齊揚　機器人商機前景可期」，</w:t>
      </w:r>
      <w:r>
        <w:rPr>
          <w:rFonts w:hint="eastAsia"/>
        </w:rPr>
        <w:t>2014</w:t>
      </w:r>
      <w:r>
        <w:rPr>
          <w:rFonts w:hint="eastAsia"/>
        </w:rPr>
        <w:t>年</w:t>
      </w:r>
      <w:r>
        <w:rPr>
          <w:rFonts w:hint="eastAsia"/>
        </w:rPr>
        <w:t>8</w:t>
      </w:r>
      <w:r>
        <w:rPr>
          <w:rFonts w:hint="eastAsia"/>
        </w:rPr>
        <w:t>月</w:t>
      </w:r>
      <w:r>
        <w:rPr>
          <w:rFonts w:hint="eastAsia"/>
        </w:rPr>
        <w:t>10</w:t>
      </w:r>
      <w:r>
        <w:rPr>
          <w:rFonts w:hint="eastAsia"/>
        </w:rPr>
        <w:t>日。</w:t>
      </w:r>
    </w:p>
    <w:p w:rsidR="00D955B5" w:rsidRDefault="00D955B5" w:rsidP="00D955B5">
      <w:pPr>
        <w:pStyle w:val="-"/>
        <w:numPr>
          <w:ilvl w:val="0"/>
          <w:numId w:val="7"/>
        </w:numPr>
        <w:spacing w:before="108" w:after="108"/>
        <w:ind w:firstLineChars="0"/>
      </w:pPr>
      <w:r>
        <w:rPr>
          <w:rFonts w:hint="eastAsia"/>
        </w:rPr>
        <w:t>新聞晨報，「負面清單再縮減，阿特蒙從</w:t>
      </w:r>
      <w:r>
        <w:t>23</w:t>
      </w:r>
      <w:r>
        <w:rPr>
          <w:rFonts w:hint="eastAsia"/>
        </w:rPr>
        <w:t>家外資醫療機構中勝出」，</w:t>
      </w:r>
      <w:r>
        <w:rPr>
          <w:rFonts w:hint="eastAsia"/>
        </w:rPr>
        <w:t>2014</w:t>
      </w:r>
      <w:r>
        <w:rPr>
          <w:rFonts w:hint="eastAsia"/>
        </w:rPr>
        <w:t>年</w:t>
      </w:r>
      <w:r>
        <w:rPr>
          <w:rFonts w:hint="eastAsia"/>
        </w:rPr>
        <w:t>9</w:t>
      </w:r>
      <w:r>
        <w:rPr>
          <w:rFonts w:hint="eastAsia"/>
        </w:rPr>
        <w:t>月</w:t>
      </w:r>
      <w:r>
        <w:rPr>
          <w:rFonts w:hint="eastAsia"/>
        </w:rPr>
        <w:t>29</w:t>
      </w:r>
      <w:r>
        <w:rPr>
          <w:rFonts w:hint="eastAsia"/>
        </w:rPr>
        <w:t>日。</w:t>
      </w:r>
    </w:p>
    <w:p w:rsidR="00D955B5" w:rsidRDefault="00D955B5" w:rsidP="00D955B5">
      <w:pPr>
        <w:pStyle w:val="-"/>
        <w:numPr>
          <w:ilvl w:val="0"/>
          <w:numId w:val="7"/>
        </w:numPr>
        <w:spacing w:before="108" w:after="108"/>
        <w:ind w:firstLineChars="0"/>
      </w:pPr>
      <w:r>
        <w:rPr>
          <w:rFonts w:hint="eastAsia"/>
        </w:rPr>
        <w:t>經濟日報，「</w:t>
      </w:r>
      <w:r w:rsidRPr="00FC7D98">
        <w:rPr>
          <w:rFonts w:hint="eastAsia"/>
        </w:rPr>
        <w:t>李克強</w:t>
      </w:r>
      <w:r w:rsidRPr="00FC7D98">
        <w:rPr>
          <w:rFonts w:hint="eastAsia"/>
        </w:rPr>
        <w:t>:</w:t>
      </w:r>
      <w:r w:rsidRPr="00FC7D98">
        <w:rPr>
          <w:rFonts w:hint="eastAsia"/>
        </w:rPr>
        <w:t>生產性服務業租稅優惠</w:t>
      </w:r>
      <w:r>
        <w:rPr>
          <w:rFonts w:hint="eastAsia"/>
        </w:rPr>
        <w:t>」，</w:t>
      </w:r>
      <w:r>
        <w:rPr>
          <w:rFonts w:hint="eastAsia"/>
        </w:rPr>
        <w:t>2014</w:t>
      </w:r>
      <w:r>
        <w:rPr>
          <w:rFonts w:hint="eastAsia"/>
        </w:rPr>
        <w:t>年</w:t>
      </w:r>
      <w:r>
        <w:rPr>
          <w:rFonts w:hint="eastAsia"/>
        </w:rPr>
        <w:t>5</w:t>
      </w:r>
      <w:r>
        <w:rPr>
          <w:rFonts w:hint="eastAsia"/>
        </w:rPr>
        <w:t>月</w:t>
      </w:r>
      <w:r>
        <w:rPr>
          <w:rFonts w:hint="eastAsia"/>
        </w:rPr>
        <w:t>15</w:t>
      </w:r>
      <w:r>
        <w:rPr>
          <w:rFonts w:hint="eastAsia"/>
        </w:rPr>
        <w:t>日。</w:t>
      </w:r>
    </w:p>
    <w:p w:rsidR="00D955B5" w:rsidRDefault="00D955B5" w:rsidP="00D955B5">
      <w:pPr>
        <w:pStyle w:val="-"/>
        <w:numPr>
          <w:ilvl w:val="0"/>
          <w:numId w:val="7"/>
        </w:numPr>
        <w:spacing w:before="108" w:after="108"/>
        <w:ind w:firstLineChars="0"/>
      </w:pPr>
      <w:r>
        <w:rPr>
          <w:rFonts w:hint="eastAsia"/>
        </w:rPr>
        <w:t>經濟日報，「營改增帶出產業新結構」，</w:t>
      </w:r>
      <w:r>
        <w:rPr>
          <w:rFonts w:hint="eastAsia"/>
        </w:rPr>
        <w:t>2013</w:t>
      </w:r>
      <w:r>
        <w:rPr>
          <w:rFonts w:hint="eastAsia"/>
        </w:rPr>
        <w:t>年</w:t>
      </w:r>
      <w:r>
        <w:rPr>
          <w:rFonts w:hint="eastAsia"/>
        </w:rPr>
        <w:t>2</w:t>
      </w:r>
      <w:r>
        <w:rPr>
          <w:rFonts w:hint="eastAsia"/>
        </w:rPr>
        <w:t>月</w:t>
      </w:r>
      <w:r>
        <w:rPr>
          <w:rFonts w:hint="eastAsia"/>
        </w:rPr>
        <w:t>4</w:t>
      </w:r>
      <w:r>
        <w:rPr>
          <w:rFonts w:hint="eastAsia"/>
        </w:rPr>
        <w:t>日。</w:t>
      </w:r>
    </w:p>
    <w:p w:rsidR="00D955B5" w:rsidRDefault="00D955B5" w:rsidP="00D955B5">
      <w:pPr>
        <w:pStyle w:val="-"/>
        <w:numPr>
          <w:ilvl w:val="0"/>
          <w:numId w:val="7"/>
        </w:numPr>
        <w:spacing w:before="108" w:after="108"/>
        <w:ind w:firstLineChars="0"/>
      </w:pPr>
      <w:r>
        <w:rPr>
          <w:rFonts w:hint="eastAsia"/>
        </w:rPr>
        <w:t>經濟參考報，「</w:t>
      </w:r>
      <w:r w:rsidRPr="00395852">
        <w:rPr>
          <w:rFonts w:hint="eastAsia"/>
        </w:rPr>
        <w:t>12</w:t>
      </w:r>
      <w:r w:rsidRPr="00395852">
        <w:rPr>
          <w:rFonts w:hint="eastAsia"/>
        </w:rPr>
        <w:t>個地方自貿區獲國務院批</w:t>
      </w:r>
      <w:r>
        <w:rPr>
          <w:rFonts w:hint="eastAsia"/>
        </w:rPr>
        <w:t>覆</w:t>
      </w:r>
      <w:r w:rsidRPr="00395852">
        <w:rPr>
          <w:rFonts w:hint="eastAsia"/>
        </w:rPr>
        <w:t xml:space="preserve"> </w:t>
      </w:r>
      <w:r w:rsidRPr="00395852">
        <w:rPr>
          <w:rFonts w:hint="eastAsia"/>
        </w:rPr>
        <w:t>進入多部委調研階段</w:t>
      </w:r>
      <w:r>
        <w:rPr>
          <w:rFonts w:hint="eastAsia"/>
        </w:rPr>
        <w:t>」，</w:t>
      </w:r>
      <w:r>
        <w:rPr>
          <w:rFonts w:hint="eastAsia"/>
        </w:rPr>
        <w:t>2014</w:t>
      </w:r>
      <w:r>
        <w:rPr>
          <w:rFonts w:hint="eastAsia"/>
        </w:rPr>
        <w:t>年</w:t>
      </w:r>
      <w:r>
        <w:rPr>
          <w:rFonts w:hint="eastAsia"/>
        </w:rPr>
        <w:t>1</w:t>
      </w:r>
      <w:r>
        <w:rPr>
          <w:rFonts w:hint="eastAsia"/>
        </w:rPr>
        <w:t>月</w:t>
      </w:r>
      <w:r>
        <w:rPr>
          <w:rFonts w:hint="eastAsia"/>
        </w:rPr>
        <w:t>22</w:t>
      </w:r>
      <w:r>
        <w:rPr>
          <w:rFonts w:hint="eastAsia"/>
        </w:rPr>
        <w:t>日。</w:t>
      </w:r>
    </w:p>
    <w:p w:rsidR="00D955B5" w:rsidRDefault="00D955B5" w:rsidP="00D955B5">
      <w:pPr>
        <w:pStyle w:val="-"/>
        <w:numPr>
          <w:ilvl w:val="0"/>
          <w:numId w:val="7"/>
        </w:numPr>
        <w:spacing w:before="108" w:after="108"/>
        <w:ind w:firstLineChars="0"/>
      </w:pPr>
      <w:r>
        <w:rPr>
          <w:rFonts w:hint="eastAsia"/>
        </w:rPr>
        <w:t>經濟通網站，「發改委：多個推動新型城鎮化配套政策即將出臺」，</w:t>
      </w:r>
      <w:r>
        <w:rPr>
          <w:rFonts w:hint="eastAsia"/>
        </w:rPr>
        <w:t>2014</w:t>
      </w:r>
      <w:r>
        <w:rPr>
          <w:rFonts w:hint="eastAsia"/>
        </w:rPr>
        <w:t>年</w:t>
      </w:r>
      <w:r>
        <w:rPr>
          <w:rFonts w:hint="eastAsia"/>
        </w:rPr>
        <w:t>10</w:t>
      </w:r>
      <w:r>
        <w:rPr>
          <w:rFonts w:hint="eastAsia"/>
        </w:rPr>
        <w:t>月</w:t>
      </w:r>
      <w:r>
        <w:rPr>
          <w:rFonts w:hint="eastAsia"/>
        </w:rPr>
        <w:t>9</w:t>
      </w:r>
      <w:r>
        <w:rPr>
          <w:rFonts w:hint="eastAsia"/>
        </w:rPr>
        <w:t>日。</w:t>
      </w:r>
    </w:p>
    <w:p w:rsidR="00D955B5" w:rsidRDefault="00D955B5" w:rsidP="00D955B5">
      <w:pPr>
        <w:pStyle w:val="-"/>
        <w:numPr>
          <w:ilvl w:val="0"/>
          <w:numId w:val="7"/>
        </w:numPr>
        <w:spacing w:before="108" w:after="108"/>
        <w:ind w:firstLineChars="0"/>
      </w:pPr>
      <w:r>
        <w:rPr>
          <w:rFonts w:hint="eastAsia"/>
        </w:rPr>
        <w:t>鉅亨網，「中共十八屆三中全會定調深化改革」，</w:t>
      </w:r>
      <w:r>
        <w:rPr>
          <w:rFonts w:hint="eastAsia"/>
        </w:rPr>
        <w:t>http://news.cnyes.com/special/cc183a/</w:t>
      </w:r>
      <w:r>
        <w:rPr>
          <w:rFonts w:hint="eastAsia"/>
        </w:rPr>
        <w:t>。</w:t>
      </w:r>
    </w:p>
    <w:p w:rsidR="00D955B5" w:rsidRDefault="00D955B5" w:rsidP="00D955B5">
      <w:pPr>
        <w:pStyle w:val="-"/>
        <w:numPr>
          <w:ilvl w:val="0"/>
          <w:numId w:val="7"/>
        </w:numPr>
        <w:spacing w:before="108" w:after="108"/>
        <w:ind w:firstLineChars="0"/>
      </w:pPr>
      <w:r>
        <w:rPr>
          <w:rFonts w:hint="eastAsia"/>
        </w:rPr>
        <w:lastRenderedPageBreak/>
        <w:t>鉅亨網，「經濟學人：中國夢背後都市化的隱憂」，</w:t>
      </w:r>
      <w:r>
        <w:rPr>
          <w:rFonts w:hint="eastAsia"/>
        </w:rPr>
        <w:t>2014</w:t>
      </w:r>
      <w:r>
        <w:rPr>
          <w:rFonts w:hint="eastAsia"/>
        </w:rPr>
        <w:t>年</w:t>
      </w:r>
      <w:r>
        <w:rPr>
          <w:rFonts w:hint="eastAsia"/>
        </w:rPr>
        <w:t>4</w:t>
      </w:r>
      <w:r>
        <w:rPr>
          <w:rFonts w:hint="eastAsia"/>
        </w:rPr>
        <w:t>月</w:t>
      </w:r>
      <w:r>
        <w:rPr>
          <w:rFonts w:hint="eastAsia"/>
        </w:rPr>
        <w:t>22</w:t>
      </w:r>
      <w:r>
        <w:rPr>
          <w:rFonts w:hint="eastAsia"/>
        </w:rPr>
        <w:t>日。</w:t>
      </w:r>
    </w:p>
    <w:p w:rsidR="006421B5" w:rsidRDefault="006421B5" w:rsidP="006421B5">
      <w:pPr>
        <w:pStyle w:val="-"/>
        <w:numPr>
          <w:ilvl w:val="0"/>
          <w:numId w:val="7"/>
        </w:numPr>
        <w:spacing w:before="108" w:after="108"/>
        <w:ind w:firstLineChars="0"/>
      </w:pPr>
      <w:r>
        <w:rPr>
          <w:rFonts w:hint="eastAsia"/>
        </w:rPr>
        <w:t>鉅亨網，「滬自貿區官員</w:t>
      </w:r>
      <w:r>
        <w:rPr>
          <w:rFonts w:hint="eastAsia"/>
        </w:rPr>
        <w:t xml:space="preserve"> 26</w:t>
      </w:r>
      <w:r>
        <w:rPr>
          <w:rFonts w:hint="eastAsia"/>
        </w:rPr>
        <w:t>日登台談經驗」，</w:t>
      </w:r>
      <w:r>
        <w:rPr>
          <w:rFonts w:hint="eastAsia"/>
        </w:rPr>
        <w:t>2014</w:t>
      </w:r>
      <w:r>
        <w:rPr>
          <w:rFonts w:hint="eastAsia"/>
        </w:rPr>
        <w:t>年</w:t>
      </w:r>
      <w:r>
        <w:rPr>
          <w:rFonts w:hint="eastAsia"/>
        </w:rPr>
        <w:t>8</w:t>
      </w:r>
      <w:r>
        <w:rPr>
          <w:rFonts w:hint="eastAsia"/>
        </w:rPr>
        <w:t>月</w:t>
      </w:r>
      <w:r>
        <w:rPr>
          <w:rFonts w:hint="eastAsia"/>
        </w:rPr>
        <w:t>21</w:t>
      </w:r>
      <w:r>
        <w:rPr>
          <w:rFonts w:hint="eastAsia"/>
        </w:rPr>
        <w:t>日。</w:t>
      </w:r>
    </w:p>
    <w:p w:rsidR="00D955B5" w:rsidRDefault="00D955B5" w:rsidP="00D955B5">
      <w:pPr>
        <w:pStyle w:val="-"/>
        <w:numPr>
          <w:ilvl w:val="0"/>
          <w:numId w:val="7"/>
        </w:numPr>
        <w:spacing w:before="108" w:after="108"/>
        <w:ind w:firstLineChars="0"/>
      </w:pPr>
      <w:r>
        <w:rPr>
          <w:rFonts w:hint="eastAsia"/>
        </w:rPr>
        <w:t>鳳凰網，「習近平：用創新合作模式建設絲綢之路經濟帶」，</w:t>
      </w:r>
      <w:r>
        <w:rPr>
          <w:rFonts w:hint="eastAsia"/>
        </w:rPr>
        <w:t>2013</w:t>
      </w:r>
      <w:r>
        <w:rPr>
          <w:rFonts w:hint="eastAsia"/>
        </w:rPr>
        <w:t>年</w:t>
      </w:r>
      <w:r>
        <w:rPr>
          <w:rFonts w:hint="eastAsia"/>
        </w:rPr>
        <w:t>9</w:t>
      </w:r>
      <w:r>
        <w:rPr>
          <w:rFonts w:hint="eastAsia"/>
        </w:rPr>
        <w:t>月</w:t>
      </w:r>
      <w:r>
        <w:rPr>
          <w:rFonts w:hint="eastAsia"/>
        </w:rPr>
        <w:t>12</w:t>
      </w:r>
      <w:r>
        <w:rPr>
          <w:rFonts w:hint="eastAsia"/>
        </w:rPr>
        <w:t>日。</w:t>
      </w:r>
    </w:p>
    <w:p w:rsidR="00D955B5" w:rsidRDefault="00D955B5" w:rsidP="00D955B5">
      <w:pPr>
        <w:pStyle w:val="-"/>
        <w:numPr>
          <w:ilvl w:val="0"/>
          <w:numId w:val="7"/>
        </w:numPr>
        <w:spacing w:before="108" w:after="108"/>
        <w:ind w:firstLineChars="0"/>
      </w:pPr>
      <w:r>
        <w:rPr>
          <w:rFonts w:hint="eastAsia"/>
        </w:rPr>
        <w:t>劉柏定（</w:t>
      </w:r>
      <w:r>
        <w:rPr>
          <w:rFonts w:hint="eastAsia"/>
        </w:rPr>
        <w:t>2014</w:t>
      </w:r>
      <w:r>
        <w:rPr>
          <w:rFonts w:hint="eastAsia"/>
        </w:rPr>
        <w:t>），「中國大陸十八大後區域發展之思維轉變與重點區域」，《經濟前瞻》，</w:t>
      </w:r>
      <w:r>
        <w:rPr>
          <w:rFonts w:hint="eastAsia"/>
        </w:rPr>
        <w:t>Vol. 155</w:t>
      </w:r>
      <w:r>
        <w:rPr>
          <w:rFonts w:hint="eastAsia"/>
        </w:rPr>
        <w:t>，</w:t>
      </w:r>
      <w:r>
        <w:rPr>
          <w:rFonts w:hint="eastAsia"/>
        </w:rPr>
        <w:t>2014</w:t>
      </w:r>
      <w:r>
        <w:rPr>
          <w:rFonts w:hint="eastAsia"/>
        </w:rPr>
        <w:t>年</w:t>
      </w:r>
      <w:r>
        <w:rPr>
          <w:rFonts w:hint="eastAsia"/>
        </w:rPr>
        <w:t>9</w:t>
      </w:r>
      <w:r>
        <w:rPr>
          <w:rFonts w:hint="eastAsia"/>
        </w:rPr>
        <w:t>月。</w:t>
      </w:r>
    </w:p>
    <w:p w:rsidR="00D955B5" w:rsidRDefault="00D955B5" w:rsidP="00D955B5">
      <w:pPr>
        <w:pStyle w:val="-"/>
        <w:numPr>
          <w:ilvl w:val="0"/>
          <w:numId w:val="7"/>
        </w:numPr>
        <w:spacing w:before="108" w:after="108"/>
        <w:ind w:firstLineChars="0"/>
      </w:pPr>
      <w:r>
        <w:rPr>
          <w:rFonts w:hint="eastAsia"/>
        </w:rPr>
        <w:t>劉雪琴（</w:t>
      </w:r>
      <w:r>
        <w:rPr>
          <w:rFonts w:hint="eastAsia"/>
        </w:rPr>
        <w:t>2014</w:t>
      </w:r>
      <w:r>
        <w:rPr>
          <w:rFonts w:hint="eastAsia"/>
        </w:rPr>
        <w:t>），「上海自貿區：兩岸經濟合作新平臺」，《</w:t>
      </w:r>
      <w:r w:rsidRPr="00B51E0A">
        <w:rPr>
          <w:rFonts w:hint="eastAsia"/>
        </w:rPr>
        <w:t>兩岸關係</w:t>
      </w:r>
      <w:r>
        <w:rPr>
          <w:rFonts w:hint="eastAsia"/>
        </w:rPr>
        <w:t>》，</w:t>
      </w:r>
      <w:r>
        <w:rPr>
          <w:rFonts w:hint="eastAsia"/>
        </w:rPr>
        <w:t>2014</w:t>
      </w:r>
      <w:r>
        <w:rPr>
          <w:rFonts w:hint="eastAsia"/>
        </w:rPr>
        <w:t>年第</w:t>
      </w:r>
      <w:r>
        <w:rPr>
          <w:rFonts w:hint="eastAsia"/>
        </w:rPr>
        <w:t>3</w:t>
      </w:r>
      <w:r>
        <w:rPr>
          <w:rFonts w:hint="eastAsia"/>
        </w:rPr>
        <w:t>期。</w:t>
      </w:r>
    </w:p>
    <w:p w:rsidR="00D955B5" w:rsidRDefault="00D955B5" w:rsidP="00D955B5">
      <w:pPr>
        <w:pStyle w:val="-"/>
        <w:numPr>
          <w:ilvl w:val="0"/>
          <w:numId w:val="7"/>
        </w:numPr>
        <w:spacing w:before="108" w:after="108"/>
        <w:ind w:firstLineChars="0"/>
      </w:pPr>
      <w:r>
        <w:rPr>
          <w:rFonts w:hint="eastAsia"/>
        </w:rPr>
        <w:t>濱海日報，「智能製造裝備業搶抓萬億商機」，</w:t>
      </w:r>
      <w:r>
        <w:rPr>
          <w:rFonts w:hint="eastAsia"/>
        </w:rPr>
        <w:t>2013</w:t>
      </w:r>
      <w:r>
        <w:rPr>
          <w:rFonts w:hint="eastAsia"/>
        </w:rPr>
        <w:t>年</w:t>
      </w:r>
      <w:r>
        <w:rPr>
          <w:rFonts w:hint="eastAsia"/>
        </w:rPr>
        <w:t>5</w:t>
      </w:r>
      <w:r>
        <w:rPr>
          <w:rFonts w:hint="eastAsia"/>
        </w:rPr>
        <w:t>月</w:t>
      </w:r>
      <w:r>
        <w:rPr>
          <w:rFonts w:hint="eastAsia"/>
        </w:rPr>
        <w:t>9</w:t>
      </w:r>
      <w:r>
        <w:rPr>
          <w:rFonts w:hint="eastAsia"/>
        </w:rPr>
        <w:t>日。</w:t>
      </w:r>
    </w:p>
    <w:p w:rsidR="00D955B5" w:rsidRDefault="00D955B5" w:rsidP="00D955B5">
      <w:pPr>
        <w:pStyle w:val="-"/>
        <w:numPr>
          <w:ilvl w:val="0"/>
          <w:numId w:val="7"/>
        </w:numPr>
        <w:spacing w:before="108" w:after="108"/>
        <w:ind w:firstLineChars="0"/>
      </w:pPr>
      <w:r>
        <w:rPr>
          <w:rFonts w:hint="eastAsia"/>
        </w:rPr>
        <w:t>聯合報，「</w:t>
      </w:r>
      <w:r w:rsidRPr="009A31E4">
        <w:rPr>
          <w:rFonts w:hint="eastAsia"/>
        </w:rPr>
        <w:t>整合區域經濟</w:t>
      </w:r>
      <w:r>
        <w:rPr>
          <w:rFonts w:hint="eastAsia"/>
        </w:rPr>
        <w:t>，</w:t>
      </w:r>
      <w:r w:rsidRPr="009A31E4">
        <w:rPr>
          <w:rFonts w:hint="eastAsia"/>
        </w:rPr>
        <w:t>陸倡亞太自貿區</w:t>
      </w:r>
      <w:r>
        <w:rPr>
          <w:rFonts w:hint="eastAsia"/>
        </w:rPr>
        <w:t>」，</w:t>
      </w:r>
      <w:r>
        <w:rPr>
          <w:rFonts w:hint="eastAsia"/>
        </w:rPr>
        <w:t>2014</w:t>
      </w:r>
      <w:r>
        <w:rPr>
          <w:rFonts w:hint="eastAsia"/>
        </w:rPr>
        <w:t>年</w:t>
      </w:r>
      <w:r>
        <w:rPr>
          <w:rFonts w:hint="eastAsia"/>
        </w:rPr>
        <w:t>4</w:t>
      </w:r>
      <w:r>
        <w:rPr>
          <w:rFonts w:hint="eastAsia"/>
        </w:rPr>
        <w:t>月</w:t>
      </w:r>
      <w:r>
        <w:rPr>
          <w:rFonts w:hint="eastAsia"/>
        </w:rPr>
        <w:t>11</w:t>
      </w:r>
      <w:r>
        <w:rPr>
          <w:rFonts w:hint="eastAsia"/>
        </w:rPr>
        <w:t>日。</w:t>
      </w:r>
    </w:p>
    <w:p w:rsidR="00D955B5" w:rsidRDefault="00D955B5" w:rsidP="00D955B5">
      <w:pPr>
        <w:pStyle w:val="-"/>
        <w:numPr>
          <w:ilvl w:val="0"/>
          <w:numId w:val="7"/>
        </w:numPr>
        <w:spacing w:before="108" w:after="108"/>
        <w:ind w:firstLineChars="0"/>
      </w:pPr>
      <w:r>
        <w:rPr>
          <w:rFonts w:hint="eastAsia"/>
        </w:rPr>
        <w:t>魏艾，「習李全方位外交下的對外經貿謀略」，</w:t>
      </w:r>
      <w:r>
        <w:rPr>
          <w:rFonts w:hint="eastAsia"/>
        </w:rPr>
        <w:t>2013</w:t>
      </w:r>
      <w:r>
        <w:rPr>
          <w:rFonts w:hint="eastAsia"/>
        </w:rPr>
        <w:t>年</w:t>
      </w:r>
      <w:r>
        <w:rPr>
          <w:rFonts w:hint="eastAsia"/>
        </w:rPr>
        <w:t>6</w:t>
      </w:r>
      <w:r>
        <w:rPr>
          <w:rFonts w:hint="eastAsia"/>
        </w:rPr>
        <w:t>月</w:t>
      </w:r>
      <w:r>
        <w:rPr>
          <w:rFonts w:hint="eastAsia"/>
        </w:rPr>
        <w:t>14</w:t>
      </w:r>
      <w:r>
        <w:rPr>
          <w:rFonts w:hint="eastAsia"/>
        </w:rPr>
        <w:t>日。</w:t>
      </w:r>
    </w:p>
    <w:p w:rsidR="00D955B5" w:rsidRDefault="00D955B5" w:rsidP="00D955B5">
      <w:pPr>
        <w:pStyle w:val="-"/>
        <w:numPr>
          <w:ilvl w:val="0"/>
          <w:numId w:val="7"/>
        </w:numPr>
        <w:spacing w:before="108" w:after="108"/>
        <w:ind w:firstLineChars="0"/>
      </w:pPr>
      <w:r>
        <w:rPr>
          <w:rFonts w:hint="eastAsia"/>
        </w:rPr>
        <w:t>騰訊網，「十八大以來習近平總書記重要精神講話」，</w:t>
      </w:r>
      <w:hyperlink r:id="rId39" w:history="1">
        <w:r w:rsidRPr="00A66898">
          <w:t>http://news.qq.com/zt2013/sbdylxjpjh/</w:t>
        </w:r>
      </w:hyperlink>
      <w:r>
        <w:rPr>
          <w:rFonts w:hint="eastAsia"/>
        </w:rPr>
        <w:t>。</w:t>
      </w:r>
    </w:p>
    <w:p w:rsidR="00D955B5" w:rsidRPr="00D955B5" w:rsidRDefault="00D955B5" w:rsidP="00D955B5">
      <w:pPr>
        <w:pStyle w:val="-"/>
        <w:spacing w:before="108" w:after="108"/>
        <w:ind w:firstLineChars="0"/>
      </w:pPr>
    </w:p>
    <w:p w:rsidR="00D955B5" w:rsidRPr="0045395C" w:rsidRDefault="00D955B5" w:rsidP="00D955B5">
      <w:pPr>
        <w:pStyle w:val="-"/>
        <w:spacing w:before="108" w:after="108"/>
        <w:ind w:firstLineChars="0" w:firstLine="0"/>
        <w:rPr>
          <w:bCs/>
        </w:rPr>
        <w:sectPr w:rsidR="00D955B5" w:rsidRPr="0045395C" w:rsidSect="00510EC9">
          <w:footerReference w:type="default" r:id="rId40"/>
          <w:type w:val="oddPage"/>
          <w:pgSz w:w="11906" w:h="16838"/>
          <w:pgMar w:top="1440" w:right="1800" w:bottom="1440" w:left="1800" w:header="851" w:footer="992" w:gutter="0"/>
          <w:cols w:space="425"/>
          <w:docGrid w:type="lines" w:linePitch="360"/>
        </w:sectPr>
      </w:pPr>
      <w:bookmarkStart w:id="83" w:name="_Toc377112741"/>
      <w:bookmarkStart w:id="84" w:name="_Toc357674489"/>
      <w:bookmarkStart w:id="85" w:name="_Toc356844768"/>
      <w:bookmarkStart w:id="86" w:name="_Toc389203202"/>
    </w:p>
    <w:p w:rsidR="00D955B5" w:rsidRPr="002356FB" w:rsidRDefault="00D955B5" w:rsidP="00D955B5">
      <w:pPr>
        <w:pStyle w:val="1"/>
        <w:pageBreakBefore/>
        <w:rPr>
          <w:bCs w:val="0"/>
        </w:rPr>
      </w:pPr>
      <w:bookmarkStart w:id="87" w:name="_Toc405462605"/>
      <w:bookmarkEnd w:id="83"/>
      <w:bookmarkEnd w:id="84"/>
      <w:bookmarkEnd w:id="85"/>
      <w:bookmarkEnd w:id="86"/>
      <w:r>
        <w:rPr>
          <w:rFonts w:hint="eastAsia"/>
          <w:bCs w:val="0"/>
        </w:rPr>
        <w:lastRenderedPageBreak/>
        <w:t>附錄一</w:t>
      </w:r>
      <w:r w:rsidRPr="002356FB">
        <w:rPr>
          <w:rFonts w:hint="eastAsia"/>
          <w:bCs w:val="0"/>
        </w:rPr>
        <w:t>、訪談紀錄</w:t>
      </w:r>
      <w:bookmarkEnd w:id="87"/>
    </w:p>
    <w:p w:rsidR="00D955B5" w:rsidRPr="008208DA" w:rsidRDefault="00D955B5" w:rsidP="00D955B5">
      <w:pPr>
        <w:jc w:val="center"/>
        <w:rPr>
          <w:rFonts w:eastAsia="標楷體"/>
          <w:b/>
          <w:bCs/>
          <w:sz w:val="46"/>
          <w:szCs w:val="48"/>
        </w:rPr>
      </w:pPr>
      <w:r w:rsidRPr="008208DA">
        <w:rPr>
          <w:rFonts w:eastAsia="標楷體" w:hint="eastAsia"/>
          <w:b/>
          <w:bCs/>
          <w:sz w:val="46"/>
          <w:szCs w:val="48"/>
        </w:rPr>
        <w:t>「自動化趨勢對兩岸製造業競爭之影響」</w:t>
      </w:r>
    </w:p>
    <w:p w:rsidR="00D955B5" w:rsidRPr="008208DA" w:rsidRDefault="00D955B5" w:rsidP="00D955B5">
      <w:pPr>
        <w:jc w:val="center"/>
        <w:rPr>
          <w:rFonts w:eastAsia="標楷體"/>
          <w:b/>
          <w:bCs/>
          <w:sz w:val="40"/>
          <w:szCs w:val="36"/>
        </w:rPr>
      </w:pPr>
      <w:r w:rsidRPr="008208DA">
        <w:rPr>
          <w:rFonts w:eastAsia="標楷體" w:hint="eastAsia"/>
          <w:b/>
          <w:bCs/>
          <w:sz w:val="40"/>
          <w:szCs w:val="36"/>
        </w:rPr>
        <w:t>訪談會議紀錄（一）</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時間：</w:t>
      </w:r>
      <w:r w:rsidRPr="008208DA">
        <w:rPr>
          <w:rFonts w:eastAsia="標楷體" w:hint="eastAsia"/>
          <w:sz w:val="26"/>
        </w:rPr>
        <w:t>2014</w:t>
      </w:r>
      <w:r w:rsidRPr="008208DA">
        <w:rPr>
          <w:rFonts w:eastAsia="標楷體" w:hint="eastAsia"/>
          <w:sz w:val="26"/>
        </w:rPr>
        <w:t>年</w:t>
      </w:r>
      <w:r w:rsidRPr="008208DA">
        <w:rPr>
          <w:rFonts w:eastAsia="標楷體" w:hint="eastAsia"/>
          <w:sz w:val="26"/>
        </w:rPr>
        <w:t>7</w:t>
      </w:r>
      <w:r w:rsidRPr="008208DA">
        <w:rPr>
          <w:rFonts w:eastAsia="標楷體" w:hint="eastAsia"/>
          <w:sz w:val="26"/>
        </w:rPr>
        <w:t>月</w:t>
      </w:r>
      <w:r w:rsidRPr="008208DA">
        <w:rPr>
          <w:rFonts w:eastAsia="標楷體" w:hint="eastAsia"/>
          <w:sz w:val="26"/>
        </w:rPr>
        <w:t>25</w:t>
      </w:r>
      <w:r w:rsidRPr="008208DA">
        <w:rPr>
          <w:rFonts w:eastAsia="標楷體" w:hint="eastAsia"/>
          <w:sz w:val="26"/>
        </w:rPr>
        <w:t>日</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地點：財團法人工業技術研究院會談室</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受訪人員：該領域研究員</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研究團隊：劉柏定（中華經濟研究院第一研究所助研究員兼代副所長）</w:t>
      </w:r>
    </w:p>
    <w:p w:rsidR="00D955B5" w:rsidRPr="008208DA" w:rsidRDefault="00D955B5" w:rsidP="00D955B5">
      <w:pPr>
        <w:tabs>
          <w:tab w:val="num" w:pos="480"/>
        </w:tabs>
        <w:spacing w:beforeLines="30" w:before="108" w:afterLines="30" w:after="108" w:line="520" w:lineRule="exact"/>
        <w:ind w:leftChars="550" w:left="1320"/>
        <w:jc w:val="both"/>
        <w:rPr>
          <w:rFonts w:eastAsia="標楷體"/>
          <w:sz w:val="26"/>
        </w:rPr>
      </w:pPr>
      <w:r w:rsidRPr="008208DA">
        <w:rPr>
          <w:rFonts w:eastAsia="標楷體" w:hint="eastAsia"/>
          <w:sz w:val="26"/>
        </w:rPr>
        <w:t>溫芳宜（中華經濟研究院第一研究所助研究員）</w:t>
      </w:r>
    </w:p>
    <w:p w:rsidR="00D955B5" w:rsidRPr="008208DA" w:rsidRDefault="00D955B5" w:rsidP="00D955B5">
      <w:pPr>
        <w:tabs>
          <w:tab w:val="num" w:pos="480"/>
        </w:tabs>
        <w:spacing w:beforeLines="30" w:before="108" w:afterLines="30" w:after="108" w:line="520" w:lineRule="exact"/>
        <w:ind w:leftChars="550" w:left="1320"/>
        <w:jc w:val="both"/>
        <w:rPr>
          <w:rFonts w:eastAsia="標楷體"/>
          <w:sz w:val="26"/>
        </w:rPr>
      </w:pPr>
      <w:r w:rsidRPr="008208DA">
        <w:rPr>
          <w:rFonts w:eastAsia="標楷體" w:hint="eastAsia"/>
          <w:sz w:val="26"/>
        </w:rPr>
        <w:t>蘇筑瑄（中華經濟研究院第一研究所輔佐研究員）</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會議記錄：蘇筑瑄</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綜合討論及回應：</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一、目前全球自動化趨勢盛行，許多國家皆有相關的自動化或機器人發展政策，</w:t>
      </w:r>
      <w:r>
        <w:rPr>
          <w:rFonts w:eastAsia="標楷體" w:hint="eastAsia"/>
          <w:b/>
          <w:sz w:val="26"/>
        </w:rPr>
        <w:t>臺</w:t>
      </w:r>
      <w:r w:rsidRPr="008208DA">
        <w:rPr>
          <w:rFonts w:eastAsia="標楷體" w:hint="eastAsia"/>
          <w:b/>
          <w:sz w:val="26"/>
        </w:rPr>
        <w:t>灣也有「智慧型自動化產業發展方案」，但該政策被視為第二次工業革命末期的產品，是經由導入電子產品與</w:t>
      </w:r>
      <w:r w:rsidRPr="008208DA">
        <w:rPr>
          <w:rFonts w:eastAsia="標楷體" w:hint="eastAsia"/>
          <w:b/>
          <w:sz w:val="26"/>
        </w:rPr>
        <w:t>IT</w:t>
      </w:r>
      <w:r w:rsidRPr="008208DA">
        <w:rPr>
          <w:rFonts w:eastAsia="標楷體" w:hint="eastAsia"/>
          <w:b/>
          <w:sz w:val="26"/>
        </w:rPr>
        <w:t>而使得生產得以持續自動化的系統，與歐美同時在研發推動的第三次工業革命的新型智慧生產系統</w:t>
      </w:r>
      <w:r w:rsidRPr="008208DA">
        <w:rPr>
          <w:rFonts w:ascii="新細明體" w:hAnsi="新細明體" w:hint="eastAsia"/>
          <w:b/>
          <w:sz w:val="26"/>
        </w:rPr>
        <w:t>（</w:t>
      </w:r>
      <w:r w:rsidRPr="008208DA">
        <w:rPr>
          <w:rFonts w:eastAsia="標楷體" w:hint="eastAsia"/>
          <w:b/>
          <w:sz w:val="26"/>
        </w:rPr>
        <w:t>2010-2020</w:t>
      </w:r>
      <w:r w:rsidRPr="008208DA">
        <w:rPr>
          <w:rFonts w:ascii="新細明體" w:hAnsi="新細明體" w:hint="eastAsia"/>
          <w:b/>
          <w:sz w:val="26"/>
        </w:rPr>
        <w:t>）</w:t>
      </w:r>
      <w:r w:rsidRPr="008208DA">
        <w:rPr>
          <w:rFonts w:eastAsia="標楷體" w:hint="eastAsia"/>
          <w:b/>
          <w:sz w:val="26"/>
        </w:rPr>
        <w:t>落後一世代。以</w:t>
      </w:r>
      <w:r>
        <w:rPr>
          <w:rFonts w:eastAsia="標楷體" w:hint="eastAsia"/>
          <w:b/>
          <w:sz w:val="26"/>
        </w:rPr>
        <w:t>臺</w:t>
      </w:r>
      <w:r w:rsidRPr="008208DA">
        <w:rPr>
          <w:rFonts w:eastAsia="標楷體" w:hint="eastAsia"/>
          <w:b/>
          <w:sz w:val="26"/>
        </w:rPr>
        <w:t>灣目前技術現況該如何做銜接？</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答</w:t>
      </w:r>
      <w:r w:rsidRPr="008208DA">
        <w:rPr>
          <w:rFonts w:ascii="標楷體" w:eastAsia="標楷體" w:hAnsi="標楷體" w:hint="eastAsia"/>
          <w:sz w:val="26"/>
        </w:rPr>
        <w:t>：第三次工業革命經由導入智慧整合感控系統</w:t>
      </w:r>
      <w:r w:rsidRPr="008208DA">
        <w:rPr>
          <w:rFonts w:eastAsia="標楷體" w:hint="eastAsia"/>
          <w:sz w:val="26"/>
        </w:rPr>
        <w:t>（</w:t>
      </w:r>
      <w:r w:rsidRPr="008208DA">
        <w:rPr>
          <w:rFonts w:eastAsia="標楷體" w:hint="eastAsia"/>
          <w:sz w:val="26"/>
        </w:rPr>
        <w:t>CPS</w:t>
      </w:r>
      <w:r w:rsidRPr="008208DA">
        <w:rPr>
          <w:rFonts w:eastAsia="標楷體" w:hint="eastAsia"/>
          <w:sz w:val="26"/>
        </w:rPr>
        <w:t>），串聯資訊流形成智慧工廠。</w:t>
      </w:r>
      <w:r w:rsidRPr="008208DA">
        <w:rPr>
          <w:rFonts w:ascii="標楷體" w:eastAsia="標楷體" w:hAnsi="標楷體" w:hint="eastAsia"/>
          <w:sz w:val="26"/>
        </w:rPr>
        <w:t>就廣義來說，</w:t>
      </w:r>
      <w:r w:rsidRPr="008208DA">
        <w:rPr>
          <w:rFonts w:eastAsia="標楷體" w:hint="eastAsia"/>
          <w:sz w:val="26"/>
        </w:rPr>
        <w:t>臺灣「智慧型自動化產業發展方案」內有相同的規劃，像是使自動化更有彈性、配合使用者需求、透過網路的應用使更有效率，這些都符合第三次工業革命的內涵，只是實質上臺灣尚未做到。臺灣自動化政策目前在推廣的是應用場域，但每個輔導案規模過小（約五百萬元），只能用於輔導一小部分產線自動化，還無法</w:t>
      </w:r>
      <w:r w:rsidRPr="008208DA">
        <w:rPr>
          <w:rFonts w:eastAsia="標楷體" w:hint="eastAsia"/>
          <w:sz w:val="26"/>
        </w:rPr>
        <w:lastRenderedPageBreak/>
        <w:t>協助導入資訊流（千萬元以上）。國外自動化新型系統並非僅存於概念上，國外工廠已有導入運作，雖然並非相當成熟。自動化的特殊性在於相當重視「在地化」，同樣行業在不國家製程可能就不一樣，因此建議在這新型系統初始發展階段，臺灣應積極與擁有相關技術的國外廠商合作，以漸進式方式逐漸導入，在既有的基礎上進一步開發符合</w:t>
      </w:r>
      <w:r>
        <w:rPr>
          <w:rFonts w:eastAsia="標楷體" w:hint="eastAsia"/>
          <w:sz w:val="26"/>
        </w:rPr>
        <w:t>臺</w:t>
      </w:r>
      <w:r w:rsidRPr="008208DA">
        <w:rPr>
          <w:rFonts w:eastAsia="標楷體" w:hint="eastAsia"/>
          <w:sz w:val="26"/>
        </w:rPr>
        <w:t>灣產業需求的應用，才能進而掌握新型技術並佔有一席之地。就</w:t>
      </w:r>
      <w:r w:rsidRPr="008208DA">
        <w:rPr>
          <w:rFonts w:eastAsia="標楷體"/>
          <w:sz w:val="26"/>
        </w:rPr>
        <w:t>受訪者</w:t>
      </w:r>
      <w:r w:rsidRPr="008208DA">
        <w:rPr>
          <w:rFonts w:eastAsia="標楷體" w:hint="eastAsia"/>
          <w:sz w:val="26"/>
        </w:rPr>
        <w:t>所知，臺灣半導體產業（</w:t>
      </w:r>
      <w:r>
        <w:rPr>
          <w:rFonts w:eastAsia="標楷體" w:hint="eastAsia"/>
          <w:sz w:val="26"/>
        </w:rPr>
        <w:t>臺</w:t>
      </w:r>
      <w:r w:rsidRPr="008208DA">
        <w:rPr>
          <w:rFonts w:eastAsia="標楷體" w:hint="eastAsia"/>
          <w:sz w:val="26"/>
        </w:rPr>
        <w:t>積、聯電）已經有在導入</w:t>
      </w:r>
      <w:r w:rsidRPr="008208DA">
        <w:rPr>
          <w:rFonts w:eastAsia="標楷體" w:hint="eastAsia"/>
          <w:sz w:val="26"/>
        </w:rPr>
        <w:t>CPS</w:t>
      </w:r>
      <w:r w:rsidRPr="008208DA">
        <w:rPr>
          <w:rFonts w:eastAsia="標楷體" w:hint="eastAsia"/>
          <w:sz w:val="26"/>
        </w:rPr>
        <w:t>，但都是由過外廠商提供和自身廠內在做，臺灣自動化廠商只負責提供周邊自動化，像是物品的連接（輸送帶、搬運），資訊的連接還無法做到。至於其他產業沒有把握是否有導入資訊流。</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二、中國大陸自動化趨勢對臺灣自動化產業發展的可能性？臺灣自動化產業在擴展中國大陸市場可能的合作對象（外商或陸商）？及其可行的運作方式？</w:t>
      </w:r>
    </w:p>
    <w:p w:rsidR="00D955B5" w:rsidRPr="008208DA" w:rsidRDefault="00D955B5" w:rsidP="00D955B5">
      <w:pPr>
        <w:tabs>
          <w:tab w:val="num" w:pos="480"/>
        </w:tabs>
        <w:spacing w:beforeLines="30" w:before="108" w:afterLines="30" w:after="108" w:line="520" w:lineRule="exact"/>
        <w:ind w:left="480" w:hanging="480"/>
        <w:jc w:val="both"/>
        <w:rPr>
          <w:rFonts w:ascii="標楷體" w:eastAsia="標楷體" w:hAnsi="標楷體"/>
          <w:sz w:val="26"/>
        </w:rPr>
      </w:pPr>
      <w:r w:rsidRPr="008208DA">
        <w:rPr>
          <w:rFonts w:eastAsia="標楷體" w:hint="eastAsia"/>
          <w:sz w:val="26"/>
        </w:rPr>
        <w:t>答</w:t>
      </w:r>
      <w:r w:rsidRPr="008208DA">
        <w:rPr>
          <w:rFonts w:ascii="標楷體" w:eastAsia="標楷體" w:hAnsi="標楷體" w:hint="eastAsia"/>
          <w:sz w:val="26"/>
        </w:rPr>
        <w:t>：現階段自動化趨勢風行是因中國大陸而起，預測未來很長一段時間最大的自動化需求也在中國大陸。臺灣市場有限，若要支撐臺灣自動化產業的發展，必須仰賴中國大陸市場的開拓。就下游應用領域來看，臺灣自動化廠商皆偏小型，僅前十大公司員工數有超過千人以上。就</w:t>
      </w:r>
      <w:r w:rsidRPr="008208DA">
        <w:rPr>
          <w:rFonts w:ascii="標楷體" w:eastAsia="標楷體" w:hAnsi="標楷體"/>
          <w:sz w:val="26"/>
        </w:rPr>
        <w:t>受訪者</w:t>
      </w:r>
      <w:r w:rsidRPr="008208DA">
        <w:rPr>
          <w:rFonts w:ascii="標楷體" w:eastAsia="標楷體" w:hAnsi="標楷體" w:hint="eastAsia"/>
          <w:sz w:val="26"/>
        </w:rPr>
        <w:t>的看法，建議短期先與外商合作，因其已有成熟的產品，可直接用於生產線上量產。由於自動化有強烈的在地化特性，國際自動化廠商開拓中國大陸市場還是會找當地廠商合作，臺灣的優勢就在於比外商瞭解中國大陸。另一方面，由於外商客製化價格高，臺灣自動化廠商一向專長客製化，在現階段剛好補外商的弱點，</w:t>
      </w:r>
      <w:r w:rsidRPr="008208DA">
        <w:rPr>
          <w:rFonts w:ascii="標楷體" w:eastAsia="標楷體" w:hAnsi="標楷體"/>
          <w:sz w:val="26"/>
        </w:rPr>
        <w:t>受訪者</w:t>
      </w:r>
      <w:r w:rsidRPr="008208DA">
        <w:rPr>
          <w:rFonts w:ascii="標楷體" w:eastAsia="標楷體" w:hAnsi="標楷體" w:hint="eastAsia"/>
          <w:sz w:val="26"/>
        </w:rPr>
        <w:t>對外商而言還有被利用價值。目前臺灣自動化廠商在中國大陸面臨最大的競爭對手為陸商，外商在進入中國大陸市場也可直接與當地廠商合作，這時臺灣廠商就必須要有比陸商還厲害的強項，才有辦法要在別人的舞</w:t>
      </w:r>
      <w:r>
        <w:rPr>
          <w:rFonts w:ascii="標楷體" w:eastAsia="標楷體" w:hAnsi="標楷體" w:hint="eastAsia"/>
          <w:sz w:val="26"/>
        </w:rPr>
        <w:t>臺</w:t>
      </w:r>
      <w:r w:rsidRPr="008208DA">
        <w:rPr>
          <w:rFonts w:ascii="標楷體" w:eastAsia="標楷體" w:hAnsi="標楷體" w:hint="eastAsia"/>
          <w:sz w:val="26"/>
        </w:rPr>
        <w:t>分一杯羹。因此，第一步先從自家</w:t>
      </w:r>
      <w:r>
        <w:rPr>
          <w:rFonts w:ascii="標楷體" w:eastAsia="標楷體" w:hAnsi="標楷體" w:hint="eastAsia"/>
          <w:sz w:val="26"/>
        </w:rPr>
        <w:t>臺</w:t>
      </w:r>
      <w:r w:rsidRPr="008208DA">
        <w:rPr>
          <w:rFonts w:ascii="標楷體" w:eastAsia="標楷體" w:hAnsi="標楷體" w:hint="eastAsia"/>
          <w:sz w:val="26"/>
        </w:rPr>
        <w:t>商做起，未來才有可能進一步</w:t>
      </w:r>
      <w:r w:rsidRPr="008208DA">
        <w:rPr>
          <w:rFonts w:ascii="標楷體" w:eastAsia="標楷體" w:hAnsi="標楷體" w:hint="eastAsia"/>
          <w:sz w:val="26"/>
        </w:rPr>
        <w:lastRenderedPageBreak/>
        <w:t>打入陸廠市場。</w:t>
      </w:r>
      <w:r w:rsidRPr="008208DA">
        <w:rPr>
          <w:rFonts w:ascii="標楷體" w:eastAsia="標楷體" w:hAnsi="標楷體"/>
          <w:sz w:val="26"/>
        </w:rPr>
        <w:t>受訪者</w:t>
      </w:r>
      <w:r w:rsidRPr="008208DA">
        <w:rPr>
          <w:rFonts w:ascii="標楷體" w:eastAsia="標楷體" w:hAnsi="標楷體" w:hint="eastAsia"/>
          <w:sz w:val="26"/>
        </w:rPr>
        <w:t>認為較可行的方法，由政府牽線集結臺灣廠商先做出標竿大廠，像是食品業找統一，半導體找</w:t>
      </w:r>
      <w:r>
        <w:rPr>
          <w:rFonts w:ascii="標楷體" w:eastAsia="標楷體" w:hAnsi="標楷體" w:hint="eastAsia"/>
          <w:sz w:val="26"/>
        </w:rPr>
        <w:t>臺</w:t>
      </w:r>
      <w:r w:rsidRPr="008208DA">
        <w:rPr>
          <w:rFonts w:ascii="標楷體" w:eastAsia="標楷體" w:hAnsi="標楷體" w:hint="eastAsia"/>
          <w:sz w:val="26"/>
        </w:rPr>
        <w:t>積電，一旦有了代表性應用實績，後續市場開拓就較容易。</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三、目前中國大陸自動化產業發展現況？及其對臺灣的影響？</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答：中國大陸有相當大的應用舞</w:t>
      </w:r>
      <w:r>
        <w:rPr>
          <w:rFonts w:eastAsia="標楷體" w:hint="eastAsia"/>
          <w:sz w:val="26"/>
        </w:rPr>
        <w:t>臺</w:t>
      </w:r>
      <w:r w:rsidRPr="008208DA">
        <w:rPr>
          <w:rFonts w:eastAsia="標楷體" w:hint="eastAsia"/>
          <w:sz w:val="26"/>
        </w:rPr>
        <w:t>，許多當地製造廠積極在找廠商導入自動化，但大都會優先採用其國內廠商。自動化（指下游系統整合應用領域）並不是相當前瞻性科技，反而是應用技術才是重點，現階段國際自動化廠商瞄準中國大陸自動化商機，皆已進入中國大陸設立分公司，經由他們與陸商合作，教導相關應用技術，中國大陸業者很快就會了並不難，玩個三五年就熟了。舉例，某</w:t>
      </w:r>
      <w:r>
        <w:rPr>
          <w:rFonts w:eastAsia="標楷體" w:hint="eastAsia"/>
          <w:sz w:val="26"/>
        </w:rPr>
        <w:t>臺</w:t>
      </w:r>
      <w:r w:rsidRPr="008208DA">
        <w:rPr>
          <w:rFonts w:eastAsia="標楷體" w:hint="eastAsia"/>
          <w:sz w:val="26"/>
        </w:rPr>
        <w:t>灣自動化廠商到中國大陸經營</w:t>
      </w:r>
      <w:r w:rsidRPr="008208DA">
        <w:rPr>
          <w:rFonts w:eastAsia="標楷體" w:hint="eastAsia"/>
          <w:sz w:val="26"/>
        </w:rPr>
        <w:t>20</w:t>
      </w:r>
      <w:r w:rsidRPr="008208DA">
        <w:rPr>
          <w:rFonts w:eastAsia="標楷體" w:hint="eastAsia"/>
          <w:sz w:val="26"/>
        </w:rPr>
        <w:t>年，就訓練出</w:t>
      </w:r>
      <w:r w:rsidRPr="008208DA">
        <w:rPr>
          <w:rFonts w:eastAsia="標楷體" w:hint="eastAsia"/>
          <w:sz w:val="26"/>
        </w:rPr>
        <w:t>1</w:t>
      </w:r>
      <w:r w:rsidRPr="008208DA">
        <w:rPr>
          <w:rFonts w:eastAsia="標楷體" w:hint="eastAsia"/>
          <w:sz w:val="26"/>
        </w:rPr>
        <w:t>、</w:t>
      </w:r>
      <w:r w:rsidRPr="008208DA">
        <w:rPr>
          <w:rFonts w:eastAsia="標楷體" w:hint="eastAsia"/>
          <w:sz w:val="26"/>
        </w:rPr>
        <w:t>20</w:t>
      </w:r>
      <w:r w:rsidRPr="008208DA">
        <w:rPr>
          <w:rFonts w:eastAsia="標楷體" w:hint="eastAsia"/>
          <w:sz w:val="26"/>
        </w:rPr>
        <w:t>家的競爭對手，都是由自己的員工出去新設自動化公司，因若全部聘用</w:t>
      </w:r>
      <w:r>
        <w:rPr>
          <w:rFonts w:eastAsia="標楷體" w:hint="eastAsia"/>
          <w:sz w:val="26"/>
        </w:rPr>
        <w:t>臺</w:t>
      </w:r>
      <w:r w:rsidRPr="008208DA">
        <w:rPr>
          <w:rFonts w:eastAsia="標楷體" w:hint="eastAsia"/>
          <w:sz w:val="26"/>
        </w:rPr>
        <w:t>幹就沒有價格競爭力。自動化應用是個相當務實的行業，自動化服務賣出去還要售後服務，非常需要在地人力。預測中國大陸自動化應用技術</w:t>
      </w:r>
      <w:r w:rsidRPr="008208DA">
        <w:rPr>
          <w:rFonts w:eastAsia="標楷體" w:hint="eastAsia"/>
          <w:sz w:val="26"/>
        </w:rPr>
        <w:t>3-5</w:t>
      </w:r>
      <w:r w:rsidRPr="008208DA">
        <w:rPr>
          <w:rFonts w:eastAsia="標楷體" w:hint="eastAsia"/>
          <w:sz w:val="26"/>
        </w:rPr>
        <w:t>年內就會發展起來，雖然臺灣目前還有相對競爭力，但若在這</w:t>
      </w:r>
      <w:r w:rsidRPr="008208DA">
        <w:rPr>
          <w:rFonts w:eastAsia="標楷體" w:hint="eastAsia"/>
          <w:sz w:val="26"/>
        </w:rPr>
        <w:t>3-5</w:t>
      </w:r>
      <w:r w:rsidRPr="008208DA">
        <w:rPr>
          <w:rFonts w:eastAsia="標楷體" w:hint="eastAsia"/>
          <w:sz w:val="26"/>
        </w:rPr>
        <w:t>年內若臺灣沒有做出一個代表性廠商，或者代表性的發展，臺灣就很難再與中國大陸業者競爭。</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四、兩岸電子業自動化現況與趨勢？若將自動化分為前段製造自動化、中段物流自動化和後段資訊自動化，兩岸電子業自動化競爭關鍵在於前段製造自動化，此論述可否成立？</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答：電子業下游組裝無法全部自動化，使用自動化</w:t>
      </w:r>
      <w:r w:rsidRPr="008208DA">
        <w:rPr>
          <w:rFonts w:ascii="標楷體" w:eastAsia="標楷體" w:hAnsi="標楷體" w:hint="eastAsia"/>
          <w:sz w:val="26"/>
        </w:rPr>
        <w:t>∕</w:t>
      </w:r>
      <w:r w:rsidRPr="008208DA">
        <w:rPr>
          <w:rFonts w:eastAsia="標楷體" w:hint="eastAsia"/>
          <w:sz w:val="26"/>
        </w:rPr>
        <w:t>機器人未必比較有效，國外的趨勢是「人機協同」，一條產線上有三個機器人和一個操作員同時作業。電子業要導入自動化相當重要的關鍵在於經濟批量要夠，使用純機器人才有效率，如一周換一次線就適合，但若兩小時就要換一次線就不適合，換線調教可能就要花半天，人機協同較可行。電子業上游比較有可能全自動化，如鴻海部分連接器、電子產品的插頭的經濟批量足夠，一天需要生產幾百萬件，不用頻繁換線。但電子業下游</w:t>
      </w:r>
      <w:r w:rsidRPr="008208DA">
        <w:rPr>
          <w:rFonts w:eastAsia="標楷體" w:hint="eastAsia"/>
          <w:sz w:val="26"/>
        </w:rPr>
        <w:lastRenderedPageBreak/>
        <w:t>組裝的產量通常都不多，越上游的產量越多。就</w:t>
      </w:r>
      <w:r w:rsidRPr="008208DA">
        <w:rPr>
          <w:rFonts w:eastAsia="標楷體"/>
          <w:sz w:val="26"/>
        </w:rPr>
        <w:t>受訪者</w:t>
      </w:r>
      <w:r w:rsidRPr="008208DA">
        <w:rPr>
          <w:rFonts w:eastAsia="標楷體" w:hint="eastAsia"/>
          <w:sz w:val="26"/>
        </w:rPr>
        <w:t>所瞭解，目前中國大陸各行業前三大製造商的自動化程度不比臺灣差，像是電子業的中興、華為、海爾等知名大廠的自動化程度都不輸臺灣製造商。就資訊自動化部分，臺灣的電路板有開始在做，下游組裝業則還沒有，目前還著重在省人力的製造自動化。電子業對資訊自動化也有需求，只是若生產的產品經常改變，製造自動化需隨之因應而相形重要。此外，受訪者認為前段製造自動化和資訊自動化為探討自動化程度的主要部分，物流自動化較不需要單獨列出討論。</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五、兩岸食品業自動化現況與趨勢？若將自動化分為前段製造自動化、中段自動化和後段資訊自動化，兩岸食品業自動化競爭關鍵在於中段物流自動化和後段資訊自動化，此論述可否成立？</w:t>
      </w:r>
    </w:p>
    <w:p w:rsidR="00D955B5" w:rsidRPr="008208DA" w:rsidRDefault="00D955B5" w:rsidP="00D955B5">
      <w:pPr>
        <w:tabs>
          <w:tab w:val="num" w:pos="480"/>
        </w:tabs>
        <w:spacing w:beforeLines="30" w:before="108" w:afterLines="30" w:after="108" w:line="520" w:lineRule="exact"/>
        <w:ind w:left="480" w:hanging="480"/>
        <w:jc w:val="both"/>
        <w:rPr>
          <w:rFonts w:ascii="標楷體" w:eastAsia="標楷體" w:hAnsi="標楷體"/>
          <w:sz w:val="26"/>
        </w:rPr>
      </w:pPr>
      <w:r w:rsidRPr="008208DA">
        <w:rPr>
          <w:rFonts w:eastAsia="標楷體" w:hint="eastAsia"/>
          <w:sz w:val="26"/>
        </w:rPr>
        <w:t>答</w:t>
      </w:r>
      <w:r w:rsidRPr="008208DA">
        <w:rPr>
          <w:rFonts w:ascii="標楷體" w:eastAsia="標楷體" w:hAnsi="標楷體" w:hint="eastAsia"/>
          <w:sz w:val="26"/>
        </w:rPr>
        <w:t>：受訪者對食品業較無深入瞭解，就其所知</w:t>
      </w:r>
      <w:r w:rsidRPr="008208DA">
        <w:rPr>
          <w:rFonts w:eastAsia="標楷體" w:hint="eastAsia"/>
          <w:sz w:val="26"/>
        </w:rPr>
        <w:t>食品業非常適合用機器人，生產過程對潔淨度要求高，使用的人越少越好。食品業大都整廠整線自動化，像是飲料業的進料重，很早就已經整廠整線自動化</w:t>
      </w:r>
      <w:r w:rsidRPr="008208DA">
        <w:rPr>
          <w:rFonts w:ascii="標楷體" w:eastAsia="標楷體" w:hAnsi="標楷體" w:hint="eastAsia"/>
          <w:sz w:val="26"/>
        </w:rPr>
        <w:t>。</w:t>
      </w:r>
      <w:r w:rsidRPr="008208DA">
        <w:rPr>
          <w:rFonts w:eastAsia="標楷體" w:hint="eastAsia"/>
          <w:sz w:val="26"/>
        </w:rPr>
        <w:t>食品業自動化並不難做，只要不是太怪的產品大都可以自動化解決。近年來食品業資訊自動化日益被重視，對應的是食品安全問題，像是透過導入生產履歷告訴消費者在食品生產過程有嚴格把關。資訊流的導入能夠有效地快速追</w:t>
      </w:r>
      <w:r>
        <w:rPr>
          <w:rFonts w:eastAsia="標楷體" w:hint="eastAsia"/>
          <w:sz w:val="26"/>
        </w:rPr>
        <w:t>溯</w:t>
      </w:r>
      <w:r w:rsidRPr="008208DA">
        <w:rPr>
          <w:rFonts w:eastAsia="標楷體" w:hint="eastAsia"/>
          <w:sz w:val="26"/>
        </w:rPr>
        <w:t>每個生產環節，像是生產情境紀錄（如溫度、溼度控制）、進料檢驗等。對食品業而言，資訊自動化是其現階段相當重要的發展重點。</w:t>
      </w:r>
      <w:r w:rsidRPr="008208DA">
        <w:rPr>
          <w:rFonts w:ascii="標楷體" w:eastAsia="標楷體" w:hAnsi="標楷體" w:hint="eastAsia"/>
          <w:sz w:val="26"/>
        </w:rPr>
        <w:t>中國</w:t>
      </w:r>
      <w:r w:rsidRPr="008208DA">
        <w:rPr>
          <w:rFonts w:eastAsia="標楷體" w:hint="eastAsia"/>
          <w:sz w:val="26"/>
        </w:rPr>
        <w:t>大陸食品大廠自動化程度不比</w:t>
      </w:r>
      <w:r>
        <w:rPr>
          <w:rFonts w:eastAsia="標楷體" w:hint="eastAsia"/>
          <w:sz w:val="26"/>
        </w:rPr>
        <w:t>臺</w:t>
      </w:r>
      <w:r w:rsidRPr="008208DA">
        <w:rPr>
          <w:rFonts w:eastAsia="標楷體" w:hint="eastAsia"/>
          <w:sz w:val="26"/>
        </w:rPr>
        <w:t>灣差，像是黃飛鴻即以機器人代替人力炒花生，中國大陸市場大、有量產規模，投入自動化絕對划算。同上題所述，建議物流自動化不需要單獨列出討論。</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六、智慧自動化對未來製造業的影響？以及對人才的需求改變因應？</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答：產業要做轉型升級時，自動化是個必要的工作，未來對產品品質要求更高、精密度要求更高，在此種狀況下，很多行業都非人工可作業的，藉助自動化載具和人合作共同完成是未來發展趨勢。</w:t>
      </w:r>
      <w:r w:rsidRPr="008208DA">
        <w:rPr>
          <w:rFonts w:eastAsia="標楷體"/>
          <w:sz w:val="26"/>
        </w:rPr>
        <w:t>受訪者</w:t>
      </w:r>
      <w:r w:rsidRPr="008208DA">
        <w:rPr>
          <w:rFonts w:eastAsia="標楷體" w:hint="eastAsia"/>
          <w:sz w:val="26"/>
        </w:rPr>
        <w:t>非常贊同</w:t>
      </w:r>
      <w:r w:rsidRPr="008208DA">
        <w:rPr>
          <w:rFonts w:eastAsia="標楷體" w:hint="eastAsia"/>
          <w:sz w:val="26"/>
        </w:rPr>
        <w:lastRenderedPageBreak/>
        <w:t>第三次工業革命描述的情境，未來自動化的設計開發，會移到與生產工廠一起，主要的目的是要供客製化產品快速研發和製造，所以產品是大量客製化，且非標準化產品。這整個發展過程需要智慧機器人、自動化系統和先進材料。在消費者角度，</w:t>
      </w:r>
      <w:r w:rsidRPr="008208DA">
        <w:rPr>
          <w:rFonts w:eastAsia="標楷體"/>
          <w:sz w:val="26"/>
        </w:rPr>
        <w:t>受訪者</w:t>
      </w:r>
      <w:r w:rsidRPr="008208DA">
        <w:rPr>
          <w:rFonts w:eastAsia="標楷體" w:hint="eastAsia"/>
          <w:sz w:val="26"/>
        </w:rPr>
        <w:t>認為這是會實現的，而客製化產品對工廠而言要怎麼有效因應，成為重要關鍵。舉例，國外某公司在做客製化男性襯衫，顧客只需從官網填寫肩寬、胸圍、身長等資料，可依個人喜好拉調緊身還是寬鬆版型，供應方只告知用什麼品牌的布料，就直接從網路下單，進入生產，到送達顧客手中都在資訊系統跑，還連結電子商務直方便付款。此背後電腦繪圖等技術也要跟上。然而也並非所有產品都適合客製化，有些東西還是要大量生產，像是民生必需品衛生紙等，需要做市場區隔。在人才方面，</w:t>
      </w:r>
      <w:r w:rsidRPr="008208DA">
        <w:rPr>
          <w:rFonts w:eastAsia="標楷體"/>
          <w:sz w:val="26"/>
        </w:rPr>
        <w:t>受訪者</w:t>
      </w:r>
      <w:r w:rsidRPr="008208DA">
        <w:rPr>
          <w:rFonts w:eastAsia="標楷體" w:hint="eastAsia"/>
          <w:sz w:val="26"/>
        </w:rPr>
        <w:t>認為中國大陸的人口眾多，要訓練高階的自動化人才並非難事，反而是臺灣較麻煩，因勞動人口數量有限，要因應產業自動化的人力需求，在政策方面應調整人力結構，像是教育培訓等，使人力資源在製造業的應用能夠更有效配置。</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七、曾有歐美日專家學者表示，若臺灣取得歐美日新型技術，會擔心</w:t>
      </w:r>
      <w:r w:rsidRPr="008208DA">
        <w:rPr>
          <w:rFonts w:eastAsia="標楷體"/>
          <w:b/>
          <w:sz w:val="26"/>
        </w:rPr>
        <w:t>受訪者</w:t>
      </w:r>
      <w:r w:rsidRPr="008208DA">
        <w:rPr>
          <w:rFonts w:eastAsia="標楷體" w:hint="eastAsia"/>
          <w:b/>
          <w:sz w:val="26"/>
        </w:rPr>
        <w:t>方將核心技術移轉到中國大陸。就目前美國的高科技出口管制，在自動化領域可否有相關限制？</w:t>
      </w:r>
    </w:p>
    <w:p w:rsidR="00D955B5" w:rsidRPr="008208DA" w:rsidRDefault="00D955B5" w:rsidP="00D955B5">
      <w:pPr>
        <w:tabs>
          <w:tab w:val="num" w:pos="480"/>
        </w:tabs>
        <w:spacing w:beforeLines="30" w:before="108" w:afterLines="30" w:after="108" w:line="520" w:lineRule="exact"/>
        <w:ind w:left="480" w:hanging="480"/>
        <w:jc w:val="both"/>
        <w:rPr>
          <w:rFonts w:ascii="標楷體" w:eastAsia="標楷體" w:hAnsi="標楷體"/>
          <w:sz w:val="26"/>
        </w:rPr>
      </w:pPr>
      <w:r w:rsidRPr="008208DA">
        <w:rPr>
          <w:rFonts w:eastAsia="標楷體" w:hint="eastAsia"/>
          <w:sz w:val="26"/>
        </w:rPr>
        <w:t>答</w:t>
      </w:r>
      <w:r w:rsidRPr="008208DA">
        <w:rPr>
          <w:rFonts w:ascii="標楷體" w:eastAsia="標楷體" w:hAnsi="標楷體" w:hint="eastAsia"/>
          <w:sz w:val="26"/>
        </w:rPr>
        <w:t>：就受訪者所知，美國對於中國大陸的高科技進出口管制僅限於國防相關技術領域的應用，像是金屬加工用的複曲面技術能夠應用在國防設備上，因此美國對此有嚴格管制。而對產業應用的管制並無聽說，尤其在自動化相關設備和技術更無所聞。</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八、依您的觀察，臺灣自動化產業和產業自動化未來應如何發展？</w:t>
      </w:r>
    </w:p>
    <w:p w:rsidR="00D955B5" w:rsidRPr="008208DA" w:rsidRDefault="00D955B5" w:rsidP="00D955B5">
      <w:pPr>
        <w:tabs>
          <w:tab w:val="num" w:pos="480"/>
        </w:tabs>
        <w:spacing w:beforeLines="30" w:before="108" w:afterLines="30" w:after="108" w:line="520" w:lineRule="exact"/>
        <w:ind w:left="480" w:hanging="480"/>
        <w:jc w:val="both"/>
        <w:rPr>
          <w:rFonts w:ascii="標楷體" w:eastAsia="標楷體" w:hAnsi="標楷體"/>
          <w:sz w:val="26"/>
        </w:rPr>
      </w:pPr>
      <w:r w:rsidRPr="008208DA">
        <w:rPr>
          <w:rFonts w:eastAsia="標楷體" w:hint="eastAsia"/>
          <w:sz w:val="26"/>
        </w:rPr>
        <w:t>答</w:t>
      </w:r>
      <w:r w:rsidRPr="008208DA">
        <w:rPr>
          <w:rFonts w:ascii="標楷體" w:eastAsia="標楷體" w:hAnsi="標楷體" w:hint="eastAsia"/>
          <w:sz w:val="26"/>
        </w:rPr>
        <w:t>：自動化放在生產線就要量產，是不容許出新品在嘗試階段。建議臺灣先利用國外廠商的資源先練功，在自動化實施和推動方面臺灣是有優勢的，從過去製造業一定的基礎和能量逐步準備相關的東西。在使用</w:t>
      </w:r>
      <w:r w:rsidRPr="008208DA">
        <w:rPr>
          <w:rFonts w:ascii="標楷體" w:eastAsia="標楷體" w:hAnsi="標楷體" w:hint="eastAsia"/>
          <w:sz w:val="26"/>
        </w:rPr>
        <w:lastRenderedPageBreak/>
        <w:t>國外產品的階段，國內相關的研發計劃就可以逐步的開發，等產品到達一定穩定的狀況才可上路。建議政府在推動輔導案時減少個數，集中資源於一家國內標竿大廠，鼓勵其率先使用國產，在同時由國內</w:t>
      </w:r>
      <w:r w:rsidRPr="008208DA">
        <w:rPr>
          <w:rFonts w:eastAsia="標楷體" w:hint="eastAsia"/>
          <w:sz w:val="26"/>
        </w:rPr>
        <w:t>多家自動化廠商就其專長領域提供整合型服務。而政府部會應串聯資源，像是</w:t>
      </w:r>
      <w:r w:rsidRPr="008208DA">
        <w:rPr>
          <w:rFonts w:ascii="標楷體" w:eastAsia="標楷體" w:hAnsi="標楷體" w:hint="eastAsia"/>
          <w:sz w:val="26"/>
        </w:rPr>
        <w:t>工業局投入輔導計畫，技術處投入科專研發。不可能要求廠商全部使用國產化，這個能用先用，其他的持續開發，等產品研發成功假以時日再放入，就全部國產化。藉由上述，透過標竿大廠使用國產和開放參觀，臺灣整個自動化氛圍就會帶起來。在中國大陸自動化產業和產業自動化快速發展的時候，臺灣自動化產業若在相關設備和零組件無法國產化，很快的就會被取代，產業自動化也因而薄弱。</w:t>
      </w:r>
    </w:p>
    <w:p w:rsidR="00306989" w:rsidRPr="0045395C" w:rsidRDefault="00306989" w:rsidP="00306989">
      <w:pPr>
        <w:pStyle w:val="-"/>
        <w:spacing w:before="108" w:after="108"/>
        <w:ind w:firstLineChars="0" w:firstLine="0"/>
        <w:rPr>
          <w:bCs/>
        </w:rPr>
        <w:sectPr w:rsidR="00306989" w:rsidRPr="0045395C" w:rsidSect="00510EC9">
          <w:footerReference w:type="default" r:id="rId41"/>
          <w:type w:val="oddPage"/>
          <w:pgSz w:w="11906" w:h="16838"/>
          <w:pgMar w:top="1440" w:right="1800" w:bottom="1440" w:left="1800" w:header="851" w:footer="992" w:gutter="0"/>
          <w:cols w:space="425"/>
          <w:docGrid w:type="lines" w:linePitch="360"/>
        </w:sectPr>
      </w:pPr>
    </w:p>
    <w:p w:rsidR="00D955B5" w:rsidRPr="008208DA" w:rsidRDefault="00D955B5" w:rsidP="00D955B5">
      <w:pPr>
        <w:pageBreakBefore/>
        <w:jc w:val="center"/>
        <w:rPr>
          <w:rFonts w:eastAsia="標楷體"/>
          <w:b/>
          <w:bCs/>
          <w:sz w:val="46"/>
          <w:szCs w:val="48"/>
        </w:rPr>
      </w:pPr>
      <w:r w:rsidRPr="008208DA">
        <w:rPr>
          <w:rFonts w:eastAsia="標楷體" w:hint="eastAsia"/>
          <w:b/>
          <w:bCs/>
          <w:sz w:val="46"/>
          <w:szCs w:val="48"/>
        </w:rPr>
        <w:lastRenderedPageBreak/>
        <w:t>「自動化趨勢對兩岸製造業競爭之影響」</w:t>
      </w:r>
    </w:p>
    <w:p w:rsidR="00D955B5" w:rsidRPr="008208DA" w:rsidRDefault="00D955B5" w:rsidP="00D955B5">
      <w:pPr>
        <w:jc w:val="center"/>
        <w:rPr>
          <w:rFonts w:eastAsia="標楷體"/>
          <w:b/>
          <w:bCs/>
          <w:sz w:val="40"/>
          <w:szCs w:val="36"/>
        </w:rPr>
      </w:pPr>
      <w:r w:rsidRPr="008208DA">
        <w:rPr>
          <w:rFonts w:eastAsia="標楷體" w:hint="eastAsia"/>
          <w:b/>
          <w:bCs/>
          <w:sz w:val="40"/>
          <w:szCs w:val="36"/>
        </w:rPr>
        <w:t>訪談會議紀錄（二）</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時間：</w:t>
      </w:r>
      <w:r w:rsidRPr="008208DA">
        <w:rPr>
          <w:rFonts w:eastAsia="標楷體" w:hint="eastAsia"/>
          <w:sz w:val="26"/>
        </w:rPr>
        <w:t>2014</w:t>
      </w:r>
      <w:r w:rsidRPr="008208DA">
        <w:rPr>
          <w:rFonts w:eastAsia="標楷體" w:hint="eastAsia"/>
          <w:sz w:val="26"/>
        </w:rPr>
        <w:t>年</w:t>
      </w:r>
      <w:r w:rsidRPr="008208DA">
        <w:rPr>
          <w:rFonts w:eastAsia="標楷體" w:hint="eastAsia"/>
          <w:sz w:val="26"/>
        </w:rPr>
        <w:t>8</w:t>
      </w:r>
      <w:r w:rsidRPr="008208DA">
        <w:rPr>
          <w:rFonts w:eastAsia="標楷體" w:hint="eastAsia"/>
          <w:sz w:val="26"/>
        </w:rPr>
        <w:t>月</w:t>
      </w:r>
      <w:r w:rsidRPr="008208DA">
        <w:rPr>
          <w:rFonts w:eastAsia="標楷體" w:hint="eastAsia"/>
          <w:sz w:val="26"/>
        </w:rPr>
        <w:t>19</w:t>
      </w:r>
      <w:r w:rsidRPr="008208DA">
        <w:rPr>
          <w:rFonts w:eastAsia="標楷體" w:hint="eastAsia"/>
          <w:sz w:val="26"/>
        </w:rPr>
        <w:t>日</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地點：財團法人金屬工業研究發展中心會談室</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受訪人員：該領域研究員</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研究團隊：劉柏定（中華經濟研究院第一研究所助研究員兼代副所長）</w:t>
      </w:r>
    </w:p>
    <w:p w:rsidR="00D955B5" w:rsidRPr="008208DA" w:rsidRDefault="00D955B5" w:rsidP="00D955B5">
      <w:pPr>
        <w:tabs>
          <w:tab w:val="num" w:pos="480"/>
        </w:tabs>
        <w:spacing w:beforeLines="30" w:before="108" w:afterLines="30" w:after="108" w:line="520" w:lineRule="exact"/>
        <w:ind w:leftChars="550" w:left="1320"/>
        <w:jc w:val="both"/>
        <w:rPr>
          <w:rFonts w:eastAsia="標楷體"/>
          <w:sz w:val="26"/>
        </w:rPr>
      </w:pPr>
      <w:r w:rsidRPr="008208DA">
        <w:rPr>
          <w:rFonts w:eastAsia="標楷體" w:hint="eastAsia"/>
          <w:sz w:val="26"/>
        </w:rPr>
        <w:t>溫芳宜（中華經濟研究院第一研究所助研究員）</w:t>
      </w:r>
    </w:p>
    <w:p w:rsidR="00D955B5" w:rsidRPr="008208DA" w:rsidRDefault="00D955B5" w:rsidP="00D955B5">
      <w:pPr>
        <w:tabs>
          <w:tab w:val="num" w:pos="480"/>
        </w:tabs>
        <w:spacing w:beforeLines="30" w:before="108" w:afterLines="30" w:after="108" w:line="520" w:lineRule="exact"/>
        <w:ind w:leftChars="550" w:left="1320"/>
        <w:jc w:val="both"/>
        <w:rPr>
          <w:rFonts w:eastAsia="標楷體"/>
          <w:sz w:val="26"/>
        </w:rPr>
      </w:pPr>
      <w:r w:rsidRPr="008208DA">
        <w:rPr>
          <w:rFonts w:eastAsia="標楷體" w:hint="eastAsia"/>
          <w:sz w:val="26"/>
        </w:rPr>
        <w:t>蘇筑瑄（中華經濟研究院第一研究所輔佐研究員）</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會議記錄：蘇筑瑄</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綜合討論及回應：</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一、簡述目前</w:t>
      </w:r>
      <w:r>
        <w:rPr>
          <w:rFonts w:eastAsia="標楷體" w:hint="eastAsia"/>
          <w:b/>
          <w:sz w:val="26"/>
        </w:rPr>
        <w:t>臺</w:t>
      </w:r>
      <w:r w:rsidRPr="008208DA">
        <w:rPr>
          <w:rFonts w:eastAsia="標楷體" w:hint="eastAsia"/>
          <w:b/>
          <w:sz w:val="26"/>
        </w:rPr>
        <w:t>灣食品業自動化應用現況，分別從製造自動化和資訊自動化加以說明。</w:t>
      </w:r>
    </w:p>
    <w:p w:rsidR="00D955B5" w:rsidRPr="008208DA" w:rsidRDefault="00D955B5" w:rsidP="00D955B5">
      <w:pPr>
        <w:tabs>
          <w:tab w:val="num" w:pos="480"/>
        </w:tabs>
        <w:spacing w:beforeLines="30" w:before="108" w:afterLines="30" w:after="108" w:line="520" w:lineRule="exact"/>
        <w:ind w:left="480" w:hanging="480"/>
        <w:jc w:val="both"/>
        <w:rPr>
          <w:rFonts w:ascii="標楷體" w:eastAsia="標楷體" w:hAnsi="標楷體"/>
          <w:sz w:val="26"/>
        </w:rPr>
      </w:pPr>
      <w:r w:rsidRPr="008208DA">
        <w:rPr>
          <w:rFonts w:eastAsia="標楷體" w:hint="eastAsia"/>
          <w:sz w:val="26"/>
        </w:rPr>
        <w:t>答</w:t>
      </w:r>
      <w:r w:rsidRPr="008208DA">
        <w:rPr>
          <w:rFonts w:ascii="標楷體" w:eastAsia="標楷體" w:hAnsi="標楷體" w:hint="eastAsia"/>
          <w:sz w:val="26"/>
        </w:rPr>
        <w:t>：受訪者表示將自動化程度分為三個類型，分別為傳統自動化、資訊自動化和人機協同。第一，傳統自動化僅限於機械單機動作，如機械代替人力捏包子成形。第二，資訊自動化指透過資訊串流達到整廠自動化，生產過程中有ERP、EMS自動調配，所有廠內機器都串聯起來，當某部機器故障可以馬上反應。第三，人機協同是一個新概念，也是目前推動食品業自動化的重點，食品業許多製程無法用機械取代人力，但又屬於3K產業，急需解決人力問題。食品業的行業特性讓人機協同重點在於機械輕量化和保留手工製程，前者如刮魚鱗電動刀具動力太大，人手操作負荷大，解決重點在於研發輕量化機械，方便人機協同作業；後者如紅豆餅製作，雖然目前技術可做到全機械自動化，但就缺乏手工現做的人情味，所以也需要人機協同解決方案。因此目前食</w:t>
      </w:r>
      <w:r w:rsidRPr="008208DA">
        <w:rPr>
          <w:rFonts w:ascii="標楷體" w:eastAsia="標楷體" w:hAnsi="標楷體" w:hint="eastAsia"/>
          <w:sz w:val="26"/>
        </w:rPr>
        <w:lastRenderedPageBreak/>
        <w:t>品業自動化的人機協同概念，就是要將負荷重的工作改為讓現場操作人員輕鬆操作方式，而非導入無人的全自動化模式。整體而言，</w:t>
      </w:r>
      <w:r>
        <w:rPr>
          <w:rFonts w:ascii="標楷體" w:eastAsia="標楷體" w:hAnsi="標楷體" w:hint="eastAsia"/>
          <w:sz w:val="26"/>
        </w:rPr>
        <w:t>臺</w:t>
      </w:r>
      <w:r w:rsidRPr="008208DA">
        <w:rPr>
          <w:rFonts w:ascii="標楷體" w:eastAsia="標楷體" w:hAnsi="標楷體" w:hint="eastAsia"/>
          <w:sz w:val="26"/>
        </w:rPr>
        <w:t>灣食品業一般都還要追求第一種傳統機械自動化，第二種資訊自動化只有極少數大廠剛開始導入，還在試營運階段，如統一布丁餡。第三種人機協同則是目前推動食品業自動化的方向。</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二、承上題，</w:t>
      </w:r>
      <w:r>
        <w:rPr>
          <w:rFonts w:eastAsia="標楷體" w:hint="eastAsia"/>
          <w:b/>
          <w:sz w:val="26"/>
        </w:rPr>
        <w:t>臺</w:t>
      </w:r>
      <w:r w:rsidRPr="008208DA">
        <w:rPr>
          <w:rFonts w:eastAsia="標楷體" w:hint="eastAsia"/>
          <w:b/>
          <w:sz w:val="26"/>
        </w:rPr>
        <w:t>灣食品業製造自動化現況，包含前段進料檢驗、中段生產製造和後段包裝等。</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答</w:t>
      </w:r>
      <w:r w:rsidRPr="008208DA">
        <w:rPr>
          <w:rFonts w:ascii="標楷體" w:eastAsia="標楷體" w:hAnsi="標楷體" w:hint="eastAsia"/>
          <w:sz w:val="26"/>
        </w:rPr>
        <w:t>：食品業製造(傳統機械)自動化程度差異相當大，從經營規模來看，大、中、小型食品廠因擁有資源差異大，在自動化程度差異也相當大。大型食品廠大部分製程都已自動化，中型食品廠也有一定的機械化程度，但小型食品廠(如家庭式、個人式、家族式烘培業)連機械化程度都相當低，只有簡單的機械，如封口機、攪拌機等。從行業別來看，食品業共有22分業，每個分業的自動化程度和需求不同，規格化產品絕大部分都已自動化，像是飲料業從進料、生產到包裝整線自動化程度相當高。其他較難以自動化分業，如鮮食業包裝、豆干業生產和豬肉分切業等。在鮮食業包裝方面，兩大鮮食業者-全家和統一在裝盒製程(將食物放進便當盒內)仍是全部使用人力，到目前為止仍無法自動化。以統一武藏野為例，其廠內就兩、三百人在負責便當裝盒製程，在鮮食業大廠的情況都如此，更何況其他中小型鮮食廠。在豆干業生產方面，全</w:t>
      </w:r>
      <w:r>
        <w:rPr>
          <w:rFonts w:ascii="標楷體" w:eastAsia="標楷體" w:hAnsi="標楷體" w:hint="eastAsia"/>
          <w:sz w:val="26"/>
        </w:rPr>
        <w:t>臺</w:t>
      </w:r>
      <w:r w:rsidRPr="008208DA">
        <w:rPr>
          <w:rFonts w:ascii="標楷體" w:eastAsia="標楷體" w:hAnsi="標楷體" w:hint="eastAsia"/>
          <w:sz w:val="26"/>
        </w:rPr>
        <w:t>豆干業者集中在桃園大溪，卻有八九成無工廠登記證，都是家庭式小型業者，生產環境和設備簡陋，更遑論導入進料檢驗和製造自動化了。在豬肉分切方面，每隻豬大小和形狀不一，在下刀時機器無法辨識油質和形狀，難以導入自動化。雖然國外有相關自動化成功案例，但需花費龐大的成本做視覺辨識和感測，研發一</w:t>
      </w:r>
      <w:r>
        <w:rPr>
          <w:rFonts w:ascii="標楷體" w:eastAsia="標楷體" w:hAnsi="標楷體" w:hint="eastAsia"/>
          <w:sz w:val="26"/>
        </w:rPr>
        <w:t>臺</w:t>
      </w:r>
      <w:r w:rsidRPr="008208DA">
        <w:rPr>
          <w:rFonts w:ascii="標楷體" w:eastAsia="標楷體" w:hAnsi="標楷體" w:hint="eastAsia"/>
          <w:sz w:val="26"/>
        </w:rPr>
        <w:t>機械可能就要幾千萬元，</w:t>
      </w:r>
      <w:r>
        <w:rPr>
          <w:rFonts w:ascii="標楷體" w:eastAsia="標楷體" w:hAnsi="標楷體" w:hint="eastAsia"/>
          <w:sz w:val="26"/>
        </w:rPr>
        <w:t>臺</w:t>
      </w:r>
      <w:r w:rsidRPr="008208DA">
        <w:rPr>
          <w:rFonts w:ascii="標楷體" w:eastAsia="標楷體" w:hAnsi="標楷體" w:hint="eastAsia"/>
          <w:sz w:val="26"/>
        </w:rPr>
        <w:t>灣受限於經費，目前都還是以人力分切為主。</w:t>
      </w:r>
      <w:r w:rsidRPr="008208DA">
        <w:rPr>
          <w:rFonts w:eastAsia="標楷體" w:hint="eastAsia"/>
          <w:sz w:val="26"/>
        </w:rPr>
        <w:t xml:space="preserve"> </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三、承上題，</w:t>
      </w:r>
      <w:r>
        <w:rPr>
          <w:rFonts w:eastAsia="標楷體" w:hint="eastAsia"/>
          <w:b/>
          <w:sz w:val="26"/>
        </w:rPr>
        <w:t>臺</w:t>
      </w:r>
      <w:r w:rsidRPr="008208DA">
        <w:rPr>
          <w:rFonts w:eastAsia="標楷體" w:hint="eastAsia"/>
          <w:b/>
          <w:sz w:val="26"/>
        </w:rPr>
        <w:t>灣食品業資訊自動化現況，包含廠房環境監控、製造資訊</w:t>
      </w:r>
      <w:r w:rsidRPr="008208DA">
        <w:rPr>
          <w:rFonts w:eastAsia="標楷體" w:hint="eastAsia"/>
          <w:b/>
          <w:sz w:val="26"/>
        </w:rPr>
        <w:lastRenderedPageBreak/>
        <w:t>蒐集等。</w:t>
      </w:r>
    </w:p>
    <w:p w:rsidR="00D955B5" w:rsidRPr="008208DA" w:rsidRDefault="00D955B5" w:rsidP="00D955B5">
      <w:pPr>
        <w:tabs>
          <w:tab w:val="num" w:pos="480"/>
        </w:tabs>
        <w:spacing w:beforeLines="30" w:before="108" w:afterLines="30" w:after="108" w:line="520" w:lineRule="exact"/>
        <w:ind w:left="480" w:hanging="480"/>
        <w:jc w:val="both"/>
        <w:rPr>
          <w:rFonts w:ascii="標楷體" w:eastAsia="標楷體" w:hAnsi="標楷體"/>
          <w:sz w:val="26"/>
        </w:rPr>
      </w:pPr>
      <w:r w:rsidRPr="008208DA">
        <w:rPr>
          <w:rFonts w:eastAsia="標楷體" w:hint="eastAsia"/>
          <w:sz w:val="26"/>
        </w:rPr>
        <w:t>答</w:t>
      </w:r>
      <w:r w:rsidRPr="008208DA">
        <w:rPr>
          <w:rFonts w:ascii="標楷體" w:eastAsia="標楷體" w:hAnsi="標楷體" w:hint="eastAsia"/>
          <w:sz w:val="26"/>
        </w:rPr>
        <w:t>：如</w:t>
      </w:r>
      <w:r w:rsidRPr="008208DA">
        <w:rPr>
          <w:rFonts w:eastAsia="標楷體" w:hint="eastAsia"/>
          <w:sz w:val="26"/>
        </w:rPr>
        <w:t>上述，</w:t>
      </w:r>
      <w:r>
        <w:rPr>
          <w:rFonts w:eastAsia="標楷體" w:hint="eastAsia"/>
          <w:sz w:val="26"/>
        </w:rPr>
        <w:t>臺</w:t>
      </w:r>
      <w:r w:rsidRPr="008208DA">
        <w:rPr>
          <w:rFonts w:eastAsia="標楷體" w:hint="eastAsia"/>
          <w:sz w:val="26"/>
        </w:rPr>
        <w:t>灣小型食品業大多數仍在努力導入傳統機械自動化的階段，對於資訊自動化較無著墨。主要都是像大型食品廠和外商食品廠才有在導入資訊自動化。像是統一因為其已完成機械自動化階段，只要再將整條產線的資訊通通蒐集到中央電腦，如殺菌製程溫度、充填製程情況等，即可製作報表和各種調配調控。因為資訊自動化成本相當高，對食品業這種低利潤的傳統產業而言，在</w:t>
      </w:r>
      <w:r>
        <w:rPr>
          <w:rFonts w:eastAsia="標楷體" w:hint="eastAsia"/>
          <w:sz w:val="26"/>
        </w:rPr>
        <w:t>臺</w:t>
      </w:r>
      <w:r w:rsidRPr="008208DA">
        <w:rPr>
          <w:rFonts w:eastAsia="標楷體" w:hint="eastAsia"/>
          <w:sz w:val="26"/>
        </w:rPr>
        <w:t>灣只有少數具規模大廠負擔的起該成本，這也是食品業不易推廣資訊自動化的原因之一。然而，受訪者表示曾要協助豬肉分切業導入資訊自動化，如前所述雖然無法導入機械自動化，但透過生產流程資訊和電子化可減少業者對部分人力的使用。當時受到美國瘦肉精問題的影響，為了與美國豬肉做區隔，開始推廣豬隻屠宰分切的生產履歷。舉例來說，一隻豬就分好幾個部分，每個客戶要的部位不同，在混線狀態下，分切時需分流，最後再挑揀出每個客戶需要的部位。在一箱</w:t>
      </w:r>
      <w:r w:rsidRPr="008208DA">
        <w:rPr>
          <w:rFonts w:eastAsia="標楷體" w:hint="eastAsia"/>
          <w:sz w:val="26"/>
        </w:rPr>
        <w:t>20</w:t>
      </w:r>
      <w:r w:rsidRPr="008208DA">
        <w:rPr>
          <w:rFonts w:eastAsia="標楷體" w:hint="eastAsia"/>
          <w:sz w:val="26"/>
        </w:rPr>
        <w:t>條里肌肉是從哪個拍賣場出來的，拍賣場會記錄從哪個養豬場出產。假設</w:t>
      </w:r>
      <w:r w:rsidRPr="008208DA">
        <w:rPr>
          <w:rFonts w:eastAsia="標楷體" w:hint="eastAsia"/>
          <w:sz w:val="26"/>
        </w:rPr>
        <w:t>20</w:t>
      </w:r>
      <w:r w:rsidRPr="008208DA">
        <w:rPr>
          <w:rFonts w:eastAsia="標楷體" w:hint="eastAsia"/>
          <w:sz w:val="26"/>
        </w:rPr>
        <w:t>條里肌來自</w:t>
      </w:r>
      <w:r w:rsidRPr="008208DA">
        <w:rPr>
          <w:rFonts w:eastAsia="標楷體" w:hint="eastAsia"/>
          <w:sz w:val="26"/>
        </w:rPr>
        <w:t>10</w:t>
      </w:r>
      <w:r w:rsidRPr="008208DA">
        <w:rPr>
          <w:rFonts w:eastAsia="標楷體" w:hint="eastAsia"/>
          <w:sz w:val="26"/>
        </w:rPr>
        <w:t>條豬，分別來自</w:t>
      </w:r>
      <w:r w:rsidRPr="008208DA">
        <w:rPr>
          <w:rFonts w:eastAsia="標楷體" w:hint="eastAsia"/>
          <w:sz w:val="26"/>
        </w:rPr>
        <w:t>3</w:t>
      </w:r>
      <w:r w:rsidRPr="008208DA">
        <w:rPr>
          <w:rFonts w:eastAsia="標楷體" w:hint="eastAsia"/>
          <w:sz w:val="26"/>
        </w:rPr>
        <w:t>個拍賣場，各自又出自不同養豬戶。受訪者當時整合</w:t>
      </w:r>
      <w:r>
        <w:rPr>
          <w:rFonts w:eastAsia="標楷體" w:hint="eastAsia"/>
          <w:sz w:val="26"/>
        </w:rPr>
        <w:t>臺</w:t>
      </w:r>
      <w:r w:rsidRPr="008208DA">
        <w:rPr>
          <w:rFonts w:eastAsia="標楷體" w:hint="eastAsia"/>
          <w:sz w:val="26"/>
        </w:rPr>
        <w:t>灣豬肉產業上中下游幾間大廠和冷凍肉品工會，協助其進行資訊匯流，撰寫一份計畫書嘗試申請業界科專，但最後因不夠前瞻性、技術含量不高而失敗收場。從這個案例來看，中小型食品業較無能力自行導入資訊自動化，除了成本的考量外，還有資訊不足的關鍵因素，這種小改變對傳統產業而言已是相當大的考驗，</w:t>
      </w:r>
      <w:r>
        <w:rPr>
          <w:rFonts w:eastAsia="標楷體" w:hint="eastAsia"/>
          <w:sz w:val="26"/>
        </w:rPr>
        <w:t>臺</w:t>
      </w:r>
      <w:r w:rsidRPr="008208DA">
        <w:rPr>
          <w:rFonts w:eastAsia="標楷體" w:hint="eastAsia"/>
          <w:sz w:val="26"/>
        </w:rPr>
        <w:t>灣食品業自動化需要政府的大力支持和推廣。原先構想先從豬肉屠宰切割做示範案例，帶動整體產業資訊自動化風氣提升，再推廣到豬肉加工，如香腸的豬肉來源更需要管控，但未來落實。</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四、中國大陸食品業自動化發展現況，分別從製造自動化和資訊自動化加以說明，或者就所知情況進行敘述。</w:t>
      </w:r>
    </w:p>
    <w:p w:rsidR="00D955B5" w:rsidRPr="008208DA" w:rsidRDefault="00D955B5" w:rsidP="00D955B5">
      <w:pPr>
        <w:tabs>
          <w:tab w:val="num" w:pos="480"/>
        </w:tabs>
        <w:spacing w:beforeLines="30" w:before="108" w:afterLines="30" w:after="108" w:line="520" w:lineRule="exact"/>
        <w:ind w:left="480" w:hanging="480"/>
        <w:jc w:val="both"/>
        <w:rPr>
          <w:rFonts w:ascii="標楷體" w:eastAsia="標楷體" w:hAnsi="標楷體"/>
          <w:sz w:val="26"/>
        </w:rPr>
      </w:pPr>
      <w:r w:rsidRPr="008208DA">
        <w:rPr>
          <w:rFonts w:eastAsia="標楷體" w:hint="eastAsia"/>
          <w:sz w:val="26"/>
        </w:rPr>
        <w:lastRenderedPageBreak/>
        <w:t>答</w:t>
      </w:r>
      <w:r w:rsidRPr="008208DA">
        <w:rPr>
          <w:rFonts w:ascii="標楷體" w:eastAsia="標楷體" w:hAnsi="標楷體" w:hint="eastAsia"/>
          <w:sz w:val="26"/>
        </w:rPr>
        <w:t>：受訪者表示該單位以服務</w:t>
      </w:r>
      <w:r>
        <w:rPr>
          <w:rFonts w:ascii="標楷體" w:eastAsia="標楷體" w:hAnsi="標楷體" w:hint="eastAsia"/>
          <w:sz w:val="26"/>
        </w:rPr>
        <w:t>臺</w:t>
      </w:r>
      <w:r w:rsidRPr="008208DA">
        <w:rPr>
          <w:rFonts w:ascii="標楷體" w:eastAsia="標楷體" w:hAnsi="標楷體" w:hint="eastAsia"/>
          <w:sz w:val="26"/>
        </w:rPr>
        <w:t>灣食品業廠商為主，無到中國大陸服務</w:t>
      </w:r>
      <w:r>
        <w:rPr>
          <w:rFonts w:ascii="標楷體" w:eastAsia="標楷體" w:hAnsi="標楷體" w:hint="eastAsia"/>
          <w:sz w:val="26"/>
        </w:rPr>
        <w:t>臺</w:t>
      </w:r>
      <w:r w:rsidRPr="008208DA">
        <w:rPr>
          <w:rFonts w:ascii="標楷體" w:eastAsia="標楷體" w:hAnsi="標楷體" w:hint="eastAsia"/>
          <w:sz w:val="26"/>
        </w:rPr>
        <w:t>商的經驗，對於大陸食品業自動化發展現況較不清楚。就其所知在製造(傳統機械)自動化方面，由於中國大陸食品市場龐大，各分業都具有一定的經濟規模，這對專用性強的食品機械而言，是一個相當大的吸引力，因研發出來的產品能受到廣泛應用。這也是導致</w:t>
      </w:r>
      <w:r>
        <w:rPr>
          <w:rFonts w:ascii="標楷體" w:eastAsia="標楷體" w:hAnsi="標楷體" w:hint="eastAsia"/>
          <w:sz w:val="26"/>
        </w:rPr>
        <w:t>臺</w:t>
      </w:r>
      <w:r w:rsidRPr="008208DA">
        <w:rPr>
          <w:rFonts w:ascii="標楷體" w:eastAsia="標楷體" w:hAnsi="標楷體" w:hint="eastAsia"/>
          <w:sz w:val="26"/>
        </w:rPr>
        <w:t>灣食品機械業者以出口居多，或直接到中國大陸設廠，較無心針對</w:t>
      </w:r>
      <w:r>
        <w:rPr>
          <w:rFonts w:ascii="標楷體" w:eastAsia="標楷體" w:hAnsi="標楷體" w:hint="eastAsia"/>
          <w:sz w:val="26"/>
        </w:rPr>
        <w:t>臺</w:t>
      </w:r>
      <w:r w:rsidRPr="008208DA">
        <w:rPr>
          <w:rFonts w:ascii="標楷體" w:eastAsia="標楷體" w:hAnsi="標楷體" w:hint="eastAsia"/>
          <w:sz w:val="26"/>
        </w:rPr>
        <w:t>灣食品業開發新型機械。中國大陸政府投入大筆經費在食品機械和技術研發，雖然才剛起步，但進步速度相當快。以先進設備的非熱加工為例，是一種新興的食品加工技術，透過超高壓、脈衝等技術進行電殺菌和萃取等處理，與傳統的熱加工不同，更可以保持食物原來的質地。這樣的技術在歐美已發展一段時間了，中國大陸近年來也小有成績，甚至將這種機械設備銷售至歐洲，而</w:t>
      </w:r>
      <w:r>
        <w:rPr>
          <w:rFonts w:ascii="標楷體" w:eastAsia="標楷體" w:hAnsi="標楷體" w:hint="eastAsia"/>
          <w:sz w:val="26"/>
        </w:rPr>
        <w:t>臺</w:t>
      </w:r>
      <w:r w:rsidRPr="008208DA">
        <w:rPr>
          <w:rFonts w:ascii="標楷體" w:eastAsia="標楷體" w:hAnsi="標楷體" w:hint="eastAsia"/>
          <w:sz w:val="26"/>
        </w:rPr>
        <w:t>灣則還沒開始進行這項技術的研發。在這重要的食品加工技術已落後中國大陸的情況下，</w:t>
      </w:r>
      <w:r>
        <w:rPr>
          <w:rFonts w:ascii="標楷體" w:eastAsia="標楷體" w:hAnsi="標楷體" w:hint="eastAsia"/>
          <w:sz w:val="26"/>
        </w:rPr>
        <w:t>臺</w:t>
      </w:r>
      <w:r w:rsidRPr="008208DA">
        <w:rPr>
          <w:rFonts w:ascii="標楷體" w:eastAsia="標楷體" w:hAnsi="標楷體" w:hint="eastAsia"/>
          <w:sz w:val="26"/>
        </w:rPr>
        <w:t>灣未來只能走向銷售低功能、低價位的食品機械，而中國大陸則發展研發性質高的機械。就總體而言，中國大陸食品機械目前雖然還處於低水平，但是先進設備的研發速度比</w:t>
      </w:r>
      <w:r>
        <w:rPr>
          <w:rFonts w:ascii="標楷體" w:eastAsia="標楷體" w:hAnsi="標楷體" w:hint="eastAsia"/>
          <w:sz w:val="26"/>
        </w:rPr>
        <w:t>臺</w:t>
      </w:r>
      <w:r w:rsidRPr="008208DA">
        <w:rPr>
          <w:rFonts w:ascii="標楷體" w:eastAsia="標楷體" w:hAnsi="標楷體" w:hint="eastAsia"/>
          <w:sz w:val="26"/>
        </w:rPr>
        <w:t>灣快很多。初期品質雖不穩定，但相較於</w:t>
      </w:r>
      <w:r>
        <w:rPr>
          <w:rFonts w:ascii="標楷體" w:eastAsia="標楷體" w:hAnsi="標楷體" w:hint="eastAsia"/>
          <w:sz w:val="26"/>
        </w:rPr>
        <w:t>臺</w:t>
      </w:r>
      <w:r w:rsidRPr="008208DA">
        <w:rPr>
          <w:rFonts w:ascii="標楷體" w:eastAsia="標楷體" w:hAnsi="標楷體" w:hint="eastAsia"/>
          <w:sz w:val="26"/>
        </w:rPr>
        <w:t>灣發展速度相當快，不久將來就會被超趕。</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五、</w:t>
      </w:r>
      <w:r>
        <w:rPr>
          <w:rFonts w:eastAsia="標楷體" w:hint="eastAsia"/>
          <w:b/>
          <w:sz w:val="26"/>
        </w:rPr>
        <w:t>臺</w:t>
      </w:r>
      <w:r w:rsidRPr="008208DA">
        <w:rPr>
          <w:rFonts w:eastAsia="標楷體" w:hint="eastAsia"/>
          <w:b/>
          <w:sz w:val="26"/>
        </w:rPr>
        <w:t>灣自動化產業在食品業自動化的供應能力，和未來產業發展方向。以及</w:t>
      </w:r>
      <w:r>
        <w:rPr>
          <w:rFonts w:eastAsia="標楷體" w:hint="eastAsia"/>
          <w:b/>
          <w:sz w:val="26"/>
        </w:rPr>
        <w:t>臺</w:t>
      </w:r>
      <w:r w:rsidRPr="008208DA">
        <w:rPr>
          <w:rFonts w:eastAsia="標楷體" w:hint="eastAsia"/>
          <w:b/>
          <w:sz w:val="26"/>
        </w:rPr>
        <w:t>灣食品機械在中國大陸是否有應用推廣的市場空間，並進一步提供自動化解決方案。</w:t>
      </w:r>
    </w:p>
    <w:p w:rsidR="00D955B5" w:rsidRPr="008208DA" w:rsidRDefault="00D955B5" w:rsidP="00D955B5">
      <w:pPr>
        <w:tabs>
          <w:tab w:val="num" w:pos="480"/>
        </w:tabs>
        <w:spacing w:beforeLines="30" w:before="108" w:afterLines="30" w:after="108" w:line="520" w:lineRule="exact"/>
        <w:ind w:left="480" w:hanging="480"/>
        <w:jc w:val="both"/>
        <w:rPr>
          <w:rFonts w:ascii="標楷體" w:eastAsia="標楷體" w:hAnsi="標楷體"/>
          <w:sz w:val="26"/>
        </w:rPr>
      </w:pPr>
      <w:r w:rsidRPr="008208DA">
        <w:rPr>
          <w:rFonts w:eastAsia="標楷體" w:hint="eastAsia"/>
          <w:sz w:val="26"/>
        </w:rPr>
        <w:t>答</w:t>
      </w:r>
      <w:r w:rsidRPr="008208DA">
        <w:rPr>
          <w:rFonts w:ascii="標楷體" w:eastAsia="標楷體" w:hAnsi="標楷體" w:hint="eastAsia"/>
          <w:sz w:val="26"/>
        </w:rPr>
        <w:t>：食品業自動化簡單來說包含食品機械業、電子業和資訊軟體業，由於</w:t>
      </w:r>
      <w:r>
        <w:rPr>
          <w:rFonts w:ascii="標楷體" w:eastAsia="標楷體" w:hAnsi="標楷體" w:hint="eastAsia"/>
          <w:sz w:val="26"/>
        </w:rPr>
        <w:t>臺</w:t>
      </w:r>
      <w:r w:rsidRPr="008208DA">
        <w:rPr>
          <w:rFonts w:ascii="標楷體" w:eastAsia="標楷體" w:hAnsi="標楷體" w:hint="eastAsia"/>
          <w:sz w:val="26"/>
        </w:rPr>
        <w:t>灣食品業經濟規模小，目前無針對食品業的系統整合廠。在製造自動化方面，主要由金屬工業中心敝單位扮演整合的角色，從機械設備本身著手推廣食品業整廠自動化。現在推動的作法是從半導體界的SECS/GEM(共通的標準協定)的概念，想辦法運用到食品業。就半導體業而言，只要符合SECS/GEM的通訊規範，機器只要插上網路即可自動</w:t>
      </w:r>
      <w:r w:rsidRPr="008208DA">
        <w:rPr>
          <w:rFonts w:ascii="標楷體" w:eastAsia="標楷體" w:hAnsi="標楷體" w:hint="eastAsia"/>
          <w:sz w:val="26"/>
        </w:rPr>
        <w:lastRenderedPageBreak/>
        <w:t>串聯，每一</w:t>
      </w:r>
      <w:r>
        <w:rPr>
          <w:rFonts w:ascii="標楷體" w:eastAsia="標楷體" w:hAnsi="標楷體" w:hint="eastAsia"/>
          <w:sz w:val="26"/>
        </w:rPr>
        <w:t>臺</w:t>
      </w:r>
      <w:r w:rsidRPr="008208DA">
        <w:rPr>
          <w:rFonts w:ascii="標楷體" w:eastAsia="標楷體" w:hAnsi="標楷體" w:hint="eastAsia"/>
          <w:sz w:val="26"/>
        </w:rPr>
        <w:t>機器彼此間都可互相溝通，有效地蒐集資訊且透過雲端控制。然而半導體設備價格昂貴，可專門裝一</w:t>
      </w:r>
      <w:r>
        <w:rPr>
          <w:rFonts w:ascii="標楷體" w:eastAsia="標楷體" w:hAnsi="標楷體" w:hint="eastAsia"/>
          <w:sz w:val="26"/>
        </w:rPr>
        <w:t>臺</w:t>
      </w:r>
      <w:r w:rsidRPr="008208DA">
        <w:rPr>
          <w:rFonts w:ascii="標楷體" w:eastAsia="標楷體" w:hAnsi="標楷體" w:hint="eastAsia"/>
          <w:sz w:val="26"/>
        </w:rPr>
        <w:t>PLC處理這件事情，但是食品機械價格從數千元到數萬元不等，不可能每</w:t>
      </w:r>
      <w:r>
        <w:rPr>
          <w:rFonts w:ascii="標楷體" w:eastAsia="標楷體" w:hAnsi="標楷體" w:hint="eastAsia"/>
          <w:sz w:val="26"/>
        </w:rPr>
        <w:t>臺</w:t>
      </w:r>
      <w:r w:rsidRPr="008208DA">
        <w:rPr>
          <w:rFonts w:ascii="標楷體" w:eastAsia="標楷體" w:hAnsi="標楷體" w:hint="eastAsia"/>
          <w:sz w:val="26"/>
        </w:rPr>
        <w:t>機器都花一萬元裝PLC只負責蒐集資訊，不符合成本效益。因此提出一個解決辦法，藉由</w:t>
      </w:r>
      <w:r>
        <w:rPr>
          <w:rFonts w:ascii="標楷體" w:eastAsia="標楷體" w:hAnsi="標楷體" w:hint="eastAsia"/>
          <w:sz w:val="26"/>
        </w:rPr>
        <w:t>臺</w:t>
      </w:r>
      <w:r w:rsidRPr="008208DA">
        <w:rPr>
          <w:rFonts w:ascii="標楷體" w:eastAsia="標楷體" w:hAnsi="標楷體" w:hint="eastAsia"/>
          <w:sz w:val="26"/>
        </w:rPr>
        <w:t>灣資訊電子業製造和開發能力的優勢，在每一</w:t>
      </w:r>
      <w:r>
        <w:rPr>
          <w:rFonts w:ascii="標楷體" w:eastAsia="標楷體" w:hAnsi="標楷體" w:hint="eastAsia"/>
          <w:sz w:val="26"/>
        </w:rPr>
        <w:t>臺</w:t>
      </w:r>
      <w:r w:rsidRPr="008208DA">
        <w:rPr>
          <w:rFonts w:ascii="標楷體" w:eastAsia="標楷體" w:hAnsi="標楷體" w:hint="eastAsia"/>
          <w:sz w:val="26"/>
        </w:rPr>
        <w:t>食品機械上統一裝上溫度、壓力等各式功能晶片，一個晶片模組成本僅數十元到百元不等，對食品機械卻有很大加值作用。這樣的規範一旦建立起來，對於使用者而言可一次蒐集所有生產資訊，也就相當容易做到資訊自動化。在資訊自動化部分，以羽冠電腦在食品業資訊自動化著墨最多，從資訊軟體角度推動整廠自動化，目前最具代表案例為協助統一做整廠整線生產營運管制系統。但由於</w:t>
      </w:r>
      <w:r>
        <w:rPr>
          <w:rFonts w:ascii="標楷體" w:eastAsia="標楷體" w:hAnsi="標楷體" w:hint="eastAsia"/>
          <w:sz w:val="26"/>
        </w:rPr>
        <w:t>臺</w:t>
      </w:r>
      <w:r w:rsidRPr="008208DA">
        <w:rPr>
          <w:rFonts w:ascii="標楷體" w:eastAsia="標楷體" w:hAnsi="標楷體" w:hint="eastAsia"/>
          <w:sz w:val="26"/>
        </w:rPr>
        <w:t>灣食品機械的資訊蒐集規範未建立，業者在推行資訊自動化相當的辛苦且成本高，必須想辦法將每一</w:t>
      </w:r>
      <w:r>
        <w:rPr>
          <w:rFonts w:ascii="標楷體" w:eastAsia="標楷體" w:hAnsi="標楷體" w:hint="eastAsia"/>
          <w:sz w:val="26"/>
        </w:rPr>
        <w:t>臺</w:t>
      </w:r>
      <w:r w:rsidRPr="008208DA">
        <w:rPr>
          <w:rFonts w:ascii="標楷體" w:eastAsia="標楷體" w:hAnsi="標楷體" w:hint="eastAsia"/>
          <w:sz w:val="26"/>
        </w:rPr>
        <w:t>機器資訊接出來，再蒐集到中央電腦，配合軟體應用進行生產管理。在大廠能夠這樣大工程的實行資訊自動化，但中小型業者就無法負擔這樣的成本、人力和物力，所以在前端的製造自動化部分將食品機械置入晶片的規範建立是相當重要的。若</w:t>
      </w:r>
      <w:r>
        <w:rPr>
          <w:rFonts w:ascii="標楷體" w:eastAsia="標楷體" w:hAnsi="標楷體" w:hint="eastAsia"/>
          <w:sz w:val="26"/>
        </w:rPr>
        <w:t>臺</w:t>
      </w:r>
      <w:r w:rsidRPr="008208DA">
        <w:rPr>
          <w:rFonts w:ascii="標楷體" w:eastAsia="標楷體" w:hAnsi="標楷體" w:hint="eastAsia"/>
          <w:sz w:val="26"/>
        </w:rPr>
        <w:t>灣能建立起這樣的規範，才有機會將食品業自動化經驗外銷至中國大陸。依羽冠在大陸推廣資訊自動化的情況，也是和</w:t>
      </w:r>
      <w:r>
        <w:rPr>
          <w:rFonts w:ascii="標楷體" w:eastAsia="標楷體" w:hAnsi="標楷體" w:hint="eastAsia"/>
          <w:sz w:val="26"/>
        </w:rPr>
        <w:t>臺</w:t>
      </w:r>
      <w:r w:rsidRPr="008208DA">
        <w:rPr>
          <w:rFonts w:ascii="標楷體" w:eastAsia="標楷體" w:hAnsi="標楷體" w:hint="eastAsia"/>
          <w:sz w:val="26"/>
        </w:rPr>
        <w:t>灣相類似，中小型業者由於資訊不對稱問題，對於資訊自動化相當陌生，但大型食品業者無論在製造自動化還是資訊自動化都不輸給</w:t>
      </w:r>
      <w:r>
        <w:rPr>
          <w:rFonts w:ascii="標楷體" w:eastAsia="標楷體" w:hAnsi="標楷體" w:hint="eastAsia"/>
          <w:sz w:val="26"/>
        </w:rPr>
        <w:t>臺</w:t>
      </w:r>
      <w:r w:rsidRPr="008208DA">
        <w:rPr>
          <w:rFonts w:ascii="標楷體" w:eastAsia="標楷體" w:hAnsi="標楷體" w:hint="eastAsia"/>
          <w:sz w:val="26"/>
        </w:rPr>
        <w:t>灣相對規模之廠商。</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六、</w:t>
      </w:r>
      <w:r>
        <w:rPr>
          <w:rFonts w:eastAsia="標楷體" w:hint="eastAsia"/>
          <w:b/>
          <w:sz w:val="26"/>
        </w:rPr>
        <w:t>臺</w:t>
      </w:r>
      <w:r w:rsidRPr="008208DA">
        <w:rPr>
          <w:rFonts w:eastAsia="標楷體" w:hint="eastAsia"/>
          <w:b/>
          <w:sz w:val="26"/>
        </w:rPr>
        <w:t>灣內外商食品業者的自動化程度差異，和配合的供應商情形。以及對</w:t>
      </w:r>
      <w:r>
        <w:rPr>
          <w:rFonts w:eastAsia="標楷體" w:hint="eastAsia"/>
          <w:b/>
          <w:sz w:val="26"/>
        </w:rPr>
        <w:t>臺</w:t>
      </w:r>
      <w:r w:rsidRPr="008208DA">
        <w:rPr>
          <w:rFonts w:eastAsia="標楷體" w:hint="eastAsia"/>
          <w:b/>
          <w:sz w:val="26"/>
        </w:rPr>
        <w:t>灣食品業自動化是否有牽引效應。</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sidRPr="008208DA">
        <w:rPr>
          <w:rFonts w:eastAsia="標楷體" w:hint="eastAsia"/>
          <w:sz w:val="26"/>
        </w:rPr>
        <w:t>答：</w:t>
      </w:r>
      <w:r>
        <w:rPr>
          <w:rFonts w:eastAsia="標楷體" w:hint="eastAsia"/>
          <w:sz w:val="26"/>
        </w:rPr>
        <w:t>臺</w:t>
      </w:r>
      <w:r w:rsidRPr="008208DA">
        <w:rPr>
          <w:rFonts w:eastAsia="標楷體" w:hint="eastAsia"/>
          <w:sz w:val="26"/>
        </w:rPr>
        <w:t>灣國內食品業自動化程度如前所述，經營規模和業別差異相當大。而來</w:t>
      </w:r>
      <w:r>
        <w:rPr>
          <w:rFonts w:eastAsia="標楷體" w:hint="eastAsia"/>
          <w:sz w:val="26"/>
        </w:rPr>
        <w:t>臺</w:t>
      </w:r>
      <w:r w:rsidRPr="008208DA">
        <w:rPr>
          <w:rFonts w:eastAsia="標楷體" w:hint="eastAsia"/>
          <w:sz w:val="26"/>
        </w:rPr>
        <w:t>設立的外商食品廠都是國際具規模性大企業，在自動化程度本就相當的高，且都是將母公司整套的自動化系統設備搬來</w:t>
      </w:r>
      <w:r>
        <w:rPr>
          <w:rFonts w:eastAsia="標楷體" w:hint="eastAsia"/>
          <w:sz w:val="26"/>
        </w:rPr>
        <w:t>臺</w:t>
      </w:r>
      <w:r w:rsidRPr="008208DA">
        <w:rPr>
          <w:rFonts w:eastAsia="標楷體" w:hint="eastAsia"/>
          <w:sz w:val="26"/>
        </w:rPr>
        <w:t>灣生產，</w:t>
      </w:r>
      <w:r>
        <w:rPr>
          <w:rFonts w:eastAsia="標楷體" w:hint="eastAsia"/>
          <w:sz w:val="26"/>
        </w:rPr>
        <w:t>臺</w:t>
      </w:r>
      <w:r w:rsidRPr="008208DA">
        <w:rPr>
          <w:rFonts w:eastAsia="標楷體" w:hint="eastAsia"/>
          <w:sz w:val="26"/>
        </w:rPr>
        <w:t>灣自動化業者無法打入其供應鏈。無論是與</w:t>
      </w:r>
      <w:r>
        <w:rPr>
          <w:rFonts w:eastAsia="標楷體" w:hint="eastAsia"/>
          <w:sz w:val="26"/>
        </w:rPr>
        <w:t>臺</w:t>
      </w:r>
      <w:r w:rsidRPr="008208DA">
        <w:rPr>
          <w:rFonts w:eastAsia="標楷體" w:hint="eastAsia"/>
          <w:sz w:val="26"/>
        </w:rPr>
        <w:t>灣的自動化產業，還</w:t>
      </w:r>
      <w:r w:rsidRPr="008208DA">
        <w:rPr>
          <w:rFonts w:eastAsia="標楷體" w:hint="eastAsia"/>
          <w:sz w:val="26"/>
        </w:rPr>
        <w:lastRenderedPageBreak/>
        <w:t>是產業自動化的關聯性皆不大。</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sidRPr="008208DA">
        <w:rPr>
          <w:rFonts w:eastAsia="標楷體" w:hint="eastAsia"/>
          <w:b/>
          <w:sz w:val="26"/>
        </w:rPr>
        <w:t>七、目前</w:t>
      </w:r>
      <w:r>
        <w:rPr>
          <w:rFonts w:eastAsia="標楷體" w:hint="eastAsia"/>
          <w:b/>
          <w:sz w:val="26"/>
        </w:rPr>
        <w:t>臺</w:t>
      </w:r>
      <w:r w:rsidRPr="008208DA">
        <w:rPr>
          <w:rFonts w:eastAsia="標楷體" w:hint="eastAsia"/>
          <w:b/>
          <w:sz w:val="26"/>
        </w:rPr>
        <w:t>灣發展食品業自動化所面臨的困境，並進一步說明因應策略。</w:t>
      </w:r>
    </w:p>
    <w:p w:rsidR="00D955B5" w:rsidRPr="008208DA" w:rsidRDefault="00D955B5" w:rsidP="00D955B5">
      <w:pPr>
        <w:tabs>
          <w:tab w:val="num" w:pos="480"/>
        </w:tabs>
        <w:spacing w:beforeLines="30" w:before="108" w:afterLines="30" w:after="108" w:line="520" w:lineRule="exact"/>
        <w:ind w:left="480" w:hanging="480"/>
        <w:jc w:val="both"/>
        <w:rPr>
          <w:rFonts w:ascii="標楷體" w:eastAsia="標楷體" w:hAnsi="標楷體"/>
          <w:sz w:val="26"/>
        </w:rPr>
      </w:pPr>
      <w:r w:rsidRPr="008208DA">
        <w:rPr>
          <w:rFonts w:eastAsia="標楷體" w:hint="eastAsia"/>
          <w:sz w:val="26"/>
        </w:rPr>
        <w:t>答</w:t>
      </w:r>
      <w:r w:rsidRPr="008208DA">
        <w:rPr>
          <w:rFonts w:ascii="標楷體" w:eastAsia="標楷體" w:hAnsi="標楷體" w:hint="eastAsia"/>
          <w:sz w:val="26"/>
        </w:rPr>
        <w:t>：目前</w:t>
      </w:r>
      <w:r>
        <w:rPr>
          <w:rFonts w:ascii="標楷體" w:eastAsia="標楷體" w:hAnsi="標楷體" w:hint="eastAsia"/>
          <w:sz w:val="26"/>
        </w:rPr>
        <w:t>臺</w:t>
      </w:r>
      <w:r w:rsidRPr="008208DA">
        <w:rPr>
          <w:rFonts w:ascii="標楷體" w:eastAsia="標楷體" w:hAnsi="標楷體" w:hint="eastAsia"/>
          <w:sz w:val="26"/>
        </w:rPr>
        <w:t>灣食品業自動化主要面臨人才和政府支持力度的問題，在人才方面，由於自動化人才需要懂機械、電子、軟體這整套供應鏈，要有很強的機構設計、電路設計、軟體設計能力，並瞭解食品行業特性，扮演與使用者溝通的角色。在這部分的人才</w:t>
      </w:r>
      <w:r>
        <w:rPr>
          <w:rFonts w:ascii="標楷體" w:eastAsia="標楷體" w:hAnsi="標楷體" w:hint="eastAsia"/>
          <w:sz w:val="26"/>
        </w:rPr>
        <w:t>臺</w:t>
      </w:r>
      <w:r w:rsidRPr="008208DA">
        <w:rPr>
          <w:rFonts w:ascii="標楷體" w:eastAsia="標楷體" w:hAnsi="標楷體" w:hint="eastAsia"/>
          <w:sz w:val="26"/>
        </w:rPr>
        <w:t>灣是缺乏的，一來是因為人才磁吸效應，食品業為傳統產業，人才都往高端電子發展，要不然就是到市場腹地更大的中國大陸發展；二來是因為</w:t>
      </w:r>
      <w:r>
        <w:rPr>
          <w:rFonts w:ascii="標楷體" w:eastAsia="標楷體" w:hAnsi="標楷體" w:hint="eastAsia"/>
          <w:sz w:val="26"/>
        </w:rPr>
        <w:t>臺</w:t>
      </w:r>
      <w:r w:rsidRPr="008208DA">
        <w:rPr>
          <w:rFonts w:ascii="標楷體" w:eastAsia="標楷體" w:hAnsi="標楷體" w:hint="eastAsia"/>
          <w:sz w:val="26"/>
        </w:rPr>
        <w:t>灣目前相當缺乏機構設計人才，這對自動化屬於機械產業一環而言，面臨到難以創新和研發的困境。這必須從</w:t>
      </w:r>
      <w:r>
        <w:rPr>
          <w:rFonts w:ascii="標楷體" w:eastAsia="標楷體" w:hAnsi="標楷體" w:hint="eastAsia"/>
          <w:sz w:val="26"/>
        </w:rPr>
        <w:t>臺</w:t>
      </w:r>
      <w:r w:rsidRPr="008208DA">
        <w:rPr>
          <w:rFonts w:ascii="標楷體" w:eastAsia="標楷體" w:hAnsi="標楷體" w:hint="eastAsia"/>
          <w:sz w:val="26"/>
        </w:rPr>
        <w:t>灣技職教育體系著手，培養基礎的機構設計人才，而非一窩蜂往電子科技發展。在政府支持力度方面，就如同前列所述，政府對於既有技術的創新應用相對較不著墨，對簡單而不具有挑戰性的技術較不支持，這對食品產業推動自動化而言是相當窒礙難行的。就以推動資訊自動化來看，要在食品機械內置入各式晶片，這必須由政府強制性規範才能得以推行，但目前尚未獲得政府採納。</w:t>
      </w:r>
    </w:p>
    <w:p w:rsidR="00306989" w:rsidRPr="0045395C" w:rsidRDefault="00306989" w:rsidP="00306989">
      <w:pPr>
        <w:pStyle w:val="-"/>
        <w:spacing w:before="108" w:after="108"/>
        <w:ind w:firstLineChars="0" w:firstLine="0"/>
        <w:rPr>
          <w:bCs/>
        </w:rPr>
        <w:sectPr w:rsidR="00306989" w:rsidRPr="0045395C" w:rsidSect="00510EC9">
          <w:footerReference w:type="default" r:id="rId42"/>
          <w:type w:val="oddPage"/>
          <w:pgSz w:w="11906" w:h="16838"/>
          <w:pgMar w:top="1440" w:right="1800" w:bottom="1440" w:left="1800" w:header="851" w:footer="992" w:gutter="0"/>
          <w:cols w:space="425"/>
          <w:docGrid w:type="lines" w:linePitch="360"/>
        </w:sectPr>
      </w:pPr>
    </w:p>
    <w:p w:rsidR="00D955B5" w:rsidRDefault="00D955B5" w:rsidP="00D955B5">
      <w:pPr>
        <w:pStyle w:val="1"/>
        <w:pageBreakBefore/>
        <w:rPr>
          <w:bCs w:val="0"/>
        </w:rPr>
      </w:pPr>
      <w:bookmarkStart w:id="88" w:name="_Toc405462606"/>
      <w:r w:rsidRPr="002356FB">
        <w:rPr>
          <w:rFonts w:hint="eastAsia"/>
          <w:bCs w:val="0"/>
        </w:rPr>
        <w:lastRenderedPageBreak/>
        <w:t>附錄</w:t>
      </w:r>
      <w:r>
        <w:rPr>
          <w:rFonts w:hint="eastAsia"/>
          <w:bCs w:val="0"/>
        </w:rPr>
        <w:t>二、出差考察報告</w:t>
      </w:r>
      <w:bookmarkEnd w:id="88"/>
    </w:p>
    <w:p w:rsidR="00D955B5" w:rsidRPr="008208DA" w:rsidRDefault="00B11230" w:rsidP="00D955B5">
      <w:pPr>
        <w:tabs>
          <w:tab w:val="num" w:pos="480"/>
        </w:tabs>
        <w:spacing w:beforeLines="30" w:before="108" w:afterLines="30" w:after="108" w:line="520" w:lineRule="exact"/>
        <w:ind w:left="480" w:hanging="480"/>
        <w:jc w:val="both"/>
        <w:rPr>
          <w:rFonts w:eastAsia="標楷體"/>
          <w:sz w:val="26"/>
        </w:rPr>
      </w:pPr>
      <w:r>
        <w:rPr>
          <w:rFonts w:eastAsia="標楷體" w:hint="eastAsia"/>
          <w:sz w:val="26"/>
        </w:rPr>
        <w:t>赴陸</w:t>
      </w:r>
      <w:r w:rsidR="00D955B5" w:rsidRPr="008208DA">
        <w:rPr>
          <w:rFonts w:eastAsia="標楷體" w:hint="eastAsia"/>
          <w:sz w:val="26"/>
        </w:rPr>
        <w:t>時間：</w:t>
      </w:r>
      <w:r w:rsidR="00D955B5" w:rsidRPr="008208DA">
        <w:rPr>
          <w:rFonts w:eastAsia="標楷體" w:hint="eastAsia"/>
          <w:sz w:val="26"/>
        </w:rPr>
        <w:t>2014</w:t>
      </w:r>
      <w:r w:rsidR="00D955B5" w:rsidRPr="008208DA">
        <w:rPr>
          <w:rFonts w:eastAsia="標楷體" w:hint="eastAsia"/>
          <w:sz w:val="26"/>
        </w:rPr>
        <w:t>年</w:t>
      </w:r>
      <w:r w:rsidR="00D955B5">
        <w:rPr>
          <w:rFonts w:eastAsia="標楷體" w:hint="eastAsia"/>
          <w:sz w:val="26"/>
        </w:rPr>
        <w:t>8</w:t>
      </w:r>
      <w:r w:rsidR="00D955B5" w:rsidRPr="008208DA">
        <w:rPr>
          <w:rFonts w:eastAsia="標楷體" w:hint="eastAsia"/>
          <w:sz w:val="26"/>
        </w:rPr>
        <w:t>月</w:t>
      </w:r>
      <w:r w:rsidR="00D955B5">
        <w:rPr>
          <w:rFonts w:eastAsia="標楷體" w:hint="eastAsia"/>
          <w:sz w:val="26"/>
        </w:rPr>
        <w:t>17-22</w:t>
      </w:r>
      <w:r w:rsidR="00D955B5" w:rsidRPr="008208DA">
        <w:rPr>
          <w:rFonts w:eastAsia="標楷體" w:hint="eastAsia"/>
          <w:sz w:val="26"/>
        </w:rPr>
        <w:t>日</w:t>
      </w:r>
    </w:p>
    <w:p w:rsidR="00D955B5" w:rsidRPr="008208DA" w:rsidRDefault="00B11230" w:rsidP="00D955B5">
      <w:pPr>
        <w:tabs>
          <w:tab w:val="num" w:pos="480"/>
        </w:tabs>
        <w:spacing w:beforeLines="30" w:before="108" w:afterLines="30" w:after="108" w:line="520" w:lineRule="exact"/>
        <w:ind w:left="480" w:hanging="480"/>
        <w:jc w:val="both"/>
        <w:rPr>
          <w:rFonts w:eastAsia="標楷體"/>
          <w:sz w:val="26"/>
        </w:rPr>
      </w:pPr>
      <w:r>
        <w:rPr>
          <w:rFonts w:eastAsia="標楷體" w:hint="eastAsia"/>
          <w:sz w:val="26"/>
        </w:rPr>
        <w:t>赴陸</w:t>
      </w:r>
      <w:r w:rsidR="00D955B5" w:rsidRPr="008208DA">
        <w:rPr>
          <w:rFonts w:eastAsia="標楷體" w:hint="eastAsia"/>
          <w:sz w:val="26"/>
        </w:rPr>
        <w:t>地點：</w:t>
      </w:r>
      <w:r w:rsidR="00D955B5">
        <w:rPr>
          <w:rFonts w:eastAsia="標楷體" w:hint="eastAsia"/>
          <w:sz w:val="26"/>
        </w:rPr>
        <w:t>中國大陸上海市</w:t>
      </w:r>
    </w:p>
    <w:p w:rsidR="00D955B5" w:rsidRPr="008208DA" w:rsidRDefault="00D955B5" w:rsidP="00D955B5">
      <w:pPr>
        <w:tabs>
          <w:tab w:val="num" w:pos="480"/>
        </w:tabs>
        <w:spacing w:beforeLines="30" w:before="108" w:afterLines="30" w:after="108" w:line="520" w:lineRule="exact"/>
        <w:jc w:val="both"/>
        <w:rPr>
          <w:rFonts w:eastAsia="標楷體"/>
          <w:sz w:val="26"/>
        </w:rPr>
      </w:pPr>
      <w:r w:rsidRPr="008208DA">
        <w:rPr>
          <w:rFonts w:eastAsia="標楷體" w:hint="eastAsia"/>
          <w:sz w:val="26"/>
        </w:rPr>
        <w:t>受訪人員：</w:t>
      </w:r>
      <w:r w:rsidRPr="000C2FC3">
        <w:rPr>
          <w:rFonts w:eastAsia="標楷體" w:hint="eastAsia"/>
          <w:sz w:val="26"/>
        </w:rPr>
        <w:t>上海社會科學院</w:t>
      </w:r>
      <w:r>
        <w:rPr>
          <w:rFonts w:eastAsia="標楷體" w:hint="eastAsia"/>
          <w:sz w:val="26"/>
        </w:rPr>
        <w:t>、</w:t>
      </w:r>
      <w:r w:rsidRPr="00794D02">
        <w:rPr>
          <w:rFonts w:eastAsia="標楷體" w:hint="eastAsia"/>
          <w:sz w:val="26"/>
        </w:rPr>
        <w:t>華東師範大學</w:t>
      </w:r>
      <w:r>
        <w:rPr>
          <w:rFonts w:eastAsia="標楷體" w:hint="eastAsia"/>
          <w:sz w:val="26"/>
        </w:rPr>
        <w:t>、</w:t>
      </w:r>
      <w:r w:rsidRPr="00794D02">
        <w:rPr>
          <w:rFonts w:eastAsia="標楷體" w:hint="eastAsia"/>
          <w:sz w:val="26"/>
        </w:rPr>
        <w:t>上海財經大學</w:t>
      </w:r>
      <w:r>
        <w:rPr>
          <w:rFonts w:eastAsia="標楷體" w:hint="eastAsia"/>
          <w:sz w:val="26"/>
        </w:rPr>
        <w:t>、</w:t>
      </w:r>
      <w:r w:rsidRPr="00794D02">
        <w:rPr>
          <w:rFonts w:eastAsia="標楷體" w:hint="eastAsia"/>
          <w:sz w:val="26"/>
        </w:rPr>
        <w:t>上海浦東</w:t>
      </w:r>
      <w:r>
        <w:rPr>
          <w:rFonts w:eastAsia="標楷體" w:hint="eastAsia"/>
          <w:sz w:val="26"/>
        </w:rPr>
        <w:t>臺</w:t>
      </w:r>
      <w:r w:rsidRPr="00794D02">
        <w:rPr>
          <w:rFonts w:eastAsia="標楷體" w:hint="eastAsia"/>
          <w:sz w:val="26"/>
        </w:rPr>
        <w:t>灣經濟研究中心</w:t>
      </w:r>
      <w:r>
        <w:rPr>
          <w:rFonts w:eastAsia="標楷體" w:hint="eastAsia"/>
          <w:sz w:val="26"/>
        </w:rPr>
        <w:t>、</w:t>
      </w:r>
      <w:r w:rsidRPr="00794D02">
        <w:rPr>
          <w:rFonts w:eastAsia="標楷體" w:hint="eastAsia"/>
          <w:sz w:val="26"/>
        </w:rPr>
        <w:t>上海復旦大學</w:t>
      </w:r>
      <w:r>
        <w:rPr>
          <w:rFonts w:eastAsia="標楷體" w:hint="eastAsia"/>
          <w:sz w:val="26"/>
        </w:rPr>
        <w:t>相關領域學者</w:t>
      </w:r>
    </w:p>
    <w:p w:rsidR="00D955B5" w:rsidRPr="008208DA" w:rsidRDefault="00D955B5" w:rsidP="00D955B5">
      <w:pPr>
        <w:tabs>
          <w:tab w:val="num" w:pos="480"/>
        </w:tabs>
        <w:spacing w:beforeLines="30" w:before="108" w:afterLines="30" w:after="108" w:line="520" w:lineRule="exact"/>
        <w:ind w:left="480" w:hanging="480"/>
        <w:jc w:val="both"/>
        <w:rPr>
          <w:rFonts w:eastAsia="標楷體"/>
          <w:sz w:val="26"/>
        </w:rPr>
      </w:pPr>
      <w:r>
        <w:rPr>
          <w:rFonts w:eastAsia="標楷體" w:hint="eastAsia"/>
          <w:sz w:val="26"/>
        </w:rPr>
        <w:t>訪談主題</w:t>
      </w:r>
      <w:r w:rsidRPr="008208DA">
        <w:rPr>
          <w:rFonts w:eastAsia="標楷體" w:hint="eastAsia"/>
          <w:sz w:val="26"/>
        </w:rPr>
        <w:t>及</w:t>
      </w:r>
      <w:r>
        <w:rPr>
          <w:rFonts w:eastAsia="標楷體" w:hint="eastAsia"/>
          <w:sz w:val="26"/>
        </w:rPr>
        <w:t>重點紀錄</w:t>
      </w:r>
      <w:r w:rsidRPr="008208DA">
        <w:rPr>
          <w:rFonts w:eastAsia="標楷體" w:hint="eastAsia"/>
          <w:sz w:val="26"/>
        </w:rPr>
        <w:t>：</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Pr>
          <w:rFonts w:eastAsia="標楷體" w:hint="eastAsia"/>
          <w:b/>
          <w:sz w:val="26"/>
        </w:rPr>
        <w:t>一</w:t>
      </w:r>
      <w:r w:rsidRPr="008208DA">
        <w:rPr>
          <w:rFonts w:eastAsia="標楷體" w:hint="eastAsia"/>
          <w:b/>
          <w:sz w:val="26"/>
        </w:rPr>
        <w:t>、</w:t>
      </w:r>
      <w:r>
        <w:rPr>
          <w:rFonts w:eastAsia="標楷體" w:hint="eastAsia"/>
          <w:b/>
          <w:sz w:val="26"/>
        </w:rPr>
        <w:t>關於</w:t>
      </w:r>
      <w:r w:rsidRPr="00F44B08">
        <w:rPr>
          <w:rFonts w:eastAsia="標楷體" w:hint="eastAsia"/>
          <w:b/>
          <w:sz w:val="26"/>
        </w:rPr>
        <w:t>「絲綢之路經濟帶」戰略</w:t>
      </w:r>
    </w:p>
    <w:p w:rsidR="00D955B5" w:rsidRDefault="00D955B5" w:rsidP="00D955B5">
      <w:pPr>
        <w:numPr>
          <w:ilvl w:val="0"/>
          <w:numId w:val="19"/>
        </w:numPr>
        <w:spacing w:beforeLines="30" w:before="108" w:afterLines="30" w:after="108" w:line="520" w:lineRule="exact"/>
        <w:jc w:val="both"/>
        <w:rPr>
          <w:rFonts w:eastAsia="標楷體"/>
          <w:sz w:val="26"/>
        </w:rPr>
      </w:pPr>
      <w:r w:rsidRPr="00F44B08">
        <w:rPr>
          <w:rFonts w:eastAsia="標楷體" w:hint="eastAsia"/>
          <w:sz w:val="26"/>
        </w:rPr>
        <w:t>關於「絲綢之路經濟帶」之</w:t>
      </w:r>
      <w:r>
        <w:rPr>
          <w:rFonts w:eastAsia="標楷體" w:hint="eastAsia"/>
          <w:sz w:val="26"/>
        </w:rPr>
        <w:t>想法</w:t>
      </w:r>
      <w:r w:rsidRPr="00F44B08">
        <w:rPr>
          <w:rFonts w:eastAsia="標楷體" w:hint="eastAsia"/>
          <w:sz w:val="26"/>
        </w:rPr>
        <w:t>：建設「絲綢之路經濟帶」的構想是希望透過這條連接歐亞大陸、輻射</w:t>
      </w:r>
      <w:r w:rsidRPr="00F44B08">
        <w:rPr>
          <w:rFonts w:eastAsia="標楷體" w:hint="eastAsia"/>
          <w:sz w:val="26"/>
        </w:rPr>
        <w:t>30</w:t>
      </w:r>
      <w:r w:rsidRPr="00F44B08">
        <w:rPr>
          <w:rFonts w:eastAsia="標楷體" w:hint="eastAsia"/>
          <w:sz w:val="26"/>
        </w:rPr>
        <w:t>多個國家的大動脈，促進中國大陸對於該區域之國際政治與經濟影響力，以及更加開放活絡之國際貿易與投資，尤其是在金融危機之後，貿易保護主義抬頭，「絲綢之路經濟帶」希望各國共同建設統一大市場，建立更自由、開放、公正的多邊貿易體系，實現互利共贏發展。</w:t>
      </w:r>
    </w:p>
    <w:p w:rsidR="00D955B5" w:rsidRDefault="00D955B5" w:rsidP="00D955B5">
      <w:pPr>
        <w:numPr>
          <w:ilvl w:val="0"/>
          <w:numId w:val="19"/>
        </w:numPr>
        <w:spacing w:beforeLines="30" w:before="108" w:afterLines="30" w:after="108" w:line="520" w:lineRule="exact"/>
        <w:jc w:val="both"/>
        <w:rPr>
          <w:rFonts w:eastAsia="標楷體"/>
          <w:sz w:val="26"/>
        </w:rPr>
      </w:pPr>
      <w:r w:rsidRPr="00F44B08">
        <w:rPr>
          <w:rFonts w:eastAsia="標楷體" w:hint="eastAsia"/>
          <w:sz w:val="26"/>
        </w:rPr>
        <w:t>關於其區域政經意涵：「絲綢之路經濟帶」主要重點在於整合多重交叉的區域經濟合作機制，該區域已有上海合作組織、歐亞經濟共同體、歐盟夥伴與合作計畫等多個國際經濟組織，其中有許多組織成員國都高度重複，而此區在歷史上的絲綢之路中層彼此高度相關、有非常緊密的經濟貿易關係，因此提出此一概念希望以中國大陸為整合者來重新整合區域合作，進一步發揮中國大陸在世界經濟的影響力，並將</w:t>
      </w:r>
      <w:r>
        <w:rPr>
          <w:rFonts w:eastAsia="標楷體" w:hint="eastAsia"/>
          <w:sz w:val="26"/>
        </w:rPr>
        <w:t>「</w:t>
      </w:r>
      <w:r w:rsidRPr="00F44B08">
        <w:rPr>
          <w:rFonts w:eastAsia="標楷體" w:hint="eastAsia"/>
          <w:sz w:val="26"/>
        </w:rPr>
        <w:t>中國威脅</w:t>
      </w:r>
      <w:r>
        <w:rPr>
          <w:rFonts w:eastAsia="標楷體" w:hint="eastAsia"/>
          <w:sz w:val="26"/>
        </w:rPr>
        <w:t>」</w:t>
      </w:r>
      <w:r w:rsidRPr="00F44B08">
        <w:rPr>
          <w:rFonts w:eastAsia="標楷體" w:hint="eastAsia"/>
          <w:sz w:val="26"/>
        </w:rPr>
        <w:t>概念轉變為</w:t>
      </w:r>
      <w:r>
        <w:rPr>
          <w:rFonts w:eastAsia="標楷體" w:hint="eastAsia"/>
          <w:sz w:val="26"/>
        </w:rPr>
        <w:t>「</w:t>
      </w:r>
      <w:r w:rsidRPr="00F44B08">
        <w:rPr>
          <w:rFonts w:eastAsia="標楷體" w:hint="eastAsia"/>
          <w:sz w:val="26"/>
        </w:rPr>
        <w:t>絲路機遇</w:t>
      </w:r>
      <w:r>
        <w:rPr>
          <w:rFonts w:eastAsia="標楷體" w:hint="eastAsia"/>
          <w:sz w:val="26"/>
        </w:rPr>
        <w:t>」</w:t>
      </w:r>
      <w:r w:rsidRPr="00F44B08">
        <w:rPr>
          <w:rFonts w:eastAsia="標楷體" w:hint="eastAsia"/>
          <w:sz w:val="26"/>
        </w:rPr>
        <w:t>，在亞歐區域發揮正面和積極的作用與影響。亞歐相關國家在這一架構下將擴大合作內涵，而中國大陸與俄羅斯將有機會借此降低相互競爭轉向更多合作。</w:t>
      </w:r>
    </w:p>
    <w:p w:rsidR="00D955B5" w:rsidRDefault="00D955B5" w:rsidP="00D955B5">
      <w:pPr>
        <w:numPr>
          <w:ilvl w:val="0"/>
          <w:numId w:val="19"/>
        </w:numPr>
        <w:spacing w:beforeLines="30" w:before="108" w:afterLines="30" w:after="108" w:line="520" w:lineRule="exact"/>
        <w:jc w:val="both"/>
        <w:rPr>
          <w:rFonts w:eastAsia="標楷體"/>
          <w:sz w:val="26"/>
        </w:rPr>
      </w:pPr>
      <w:r w:rsidRPr="00F44B08">
        <w:rPr>
          <w:rFonts w:eastAsia="標楷體" w:hint="eastAsia"/>
          <w:sz w:val="26"/>
        </w:rPr>
        <w:t>關於其對於經濟與產業之意義：「絲綢之路經濟帶」將大力推動該區域實體經濟發展，藉由合作與互補，擴大中國大陸經濟的影響範圍，將</w:t>
      </w:r>
      <w:r w:rsidRPr="00F44B08">
        <w:rPr>
          <w:rFonts w:eastAsia="標楷體" w:hint="eastAsia"/>
          <w:sz w:val="26"/>
        </w:rPr>
        <w:lastRenderedPageBreak/>
        <w:t>傳統行業向中亞等地區沿途轉移，同時有助於各國經濟進一步發展，對於中國大陸高新技術產業提升亦有更所幫助，有利於實現產業升級，在區域間構建分工合理、優勢互補的產業分工體系。舉例而言，中亞國家對於太陽能、風能和水資源等清潔能源有較大需求，而中國大陸西部發電多、能源產業有所發展，可與之合作，目前中國大陸機電產品對中亞出口已有不少，未來機械製造業發展也有潛力。</w:t>
      </w:r>
    </w:p>
    <w:p w:rsidR="00D955B5" w:rsidRPr="00F44B08" w:rsidRDefault="00D955B5" w:rsidP="00D955B5">
      <w:pPr>
        <w:numPr>
          <w:ilvl w:val="0"/>
          <w:numId w:val="19"/>
        </w:numPr>
        <w:spacing w:beforeLines="30" w:before="108" w:afterLines="30" w:after="108" w:line="520" w:lineRule="exact"/>
        <w:jc w:val="both"/>
        <w:rPr>
          <w:rFonts w:eastAsia="標楷體"/>
          <w:sz w:val="26"/>
        </w:rPr>
      </w:pPr>
      <w:r w:rsidRPr="00F44B08">
        <w:rPr>
          <w:rFonts w:eastAsia="標楷體" w:hint="eastAsia"/>
          <w:sz w:val="26"/>
        </w:rPr>
        <w:t>關於其區域自由化與合作之內涵：「絲綢之路經濟帶」中，貿易投資便利化自由化是重點，要達成物暢其流，人暢其通，加強資金流、物流、人才流和資訊流建設，中國大陸將透過中亞通往歐非兩洲，大大縮短到東歐和北歐的貨運距離，反向亦然，形成一條互賴的雙向通道。此外，在合作面可以歸納幾點：一，加強金融合作，促進銀行與貨幣面之合作等，促進資金流暢通與高效運用；二，推動鐵路、公路、航空、管道並舉的交通運輸合作，推動通信網路一體化，提升倉儲貨運能力等，打造現代化的絲綢之路；三，復興古絲綢之路旅遊線路，提高簽證相互便利，開放人流，促進人員往來。四，加強資訊合作，促進電子商務平臺建設，加強報紙、網路等各式傳統與現代媒體之交流，促成進出境檢驗檢疫、海關等功能領域的資訊共用，就是數位化的「絲綢之路」。</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Pr>
          <w:rFonts w:eastAsia="標楷體" w:hint="eastAsia"/>
          <w:b/>
          <w:sz w:val="26"/>
        </w:rPr>
        <w:t>二</w:t>
      </w:r>
      <w:r w:rsidRPr="008208DA">
        <w:rPr>
          <w:rFonts w:eastAsia="標楷體" w:hint="eastAsia"/>
          <w:b/>
          <w:sz w:val="26"/>
        </w:rPr>
        <w:t>、</w:t>
      </w:r>
      <w:r w:rsidRPr="00F44B08">
        <w:rPr>
          <w:rFonts w:eastAsia="標楷體" w:hint="eastAsia"/>
          <w:b/>
          <w:sz w:val="26"/>
        </w:rPr>
        <w:t>中國大陸十八大後對外經貿戰略與上海自貿區發展</w:t>
      </w:r>
      <w:r w:rsidRPr="008208DA">
        <w:rPr>
          <w:rFonts w:eastAsia="標楷體" w:hint="eastAsia"/>
          <w:b/>
          <w:sz w:val="26"/>
        </w:rPr>
        <w:t>。</w:t>
      </w:r>
    </w:p>
    <w:p w:rsidR="00D955B5" w:rsidRPr="00F44B08" w:rsidRDefault="00D955B5" w:rsidP="00D955B5">
      <w:pPr>
        <w:numPr>
          <w:ilvl w:val="0"/>
          <w:numId w:val="20"/>
        </w:numPr>
        <w:spacing w:beforeLines="30" w:before="108" w:afterLines="30" w:after="108" w:line="520" w:lineRule="exact"/>
        <w:jc w:val="both"/>
        <w:rPr>
          <w:rFonts w:eastAsia="標楷體"/>
          <w:sz w:val="26"/>
        </w:rPr>
      </w:pPr>
      <w:r w:rsidRPr="00F44B08">
        <w:rPr>
          <w:rFonts w:eastAsia="標楷體" w:hint="eastAsia"/>
          <w:sz w:val="26"/>
        </w:rPr>
        <w:t>關於新政下的對外經貿大局：基本上，中國大陸對外經貿戰略可以說是對於外在國際經貿環境變化的一種回應，且絕對不是只考慮經濟，而是包括政治上的戰略考量。大陸過去更多地是關注於</w:t>
      </w:r>
      <w:r w:rsidRPr="00F44B08">
        <w:rPr>
          <w:rFonts w:eastAsia="標楷體" w:hint="eastAsia"/>
          <w:sz w:val="26"/>
        </w:rPr>
        <w:t>WTO</w:t>
      </w:r>
      <w:r w:rsidRPr="00F44B08">
        <w:rPr>
          <w:rFonts w:eastAsia="標楷體" w:hint="eastAsia"/>
          <w:sz w:val="26"/>
        </w:rPr>
        <w:t>這類的全球性的經貿自由化安排，但以後來的發展來看，也不得不轉向與貿易夥伴間的雙邊或區域性的經貿整合，包括</w:t>
      </w:r>
      <w:r w:rsidRPr="00F44B08">
        <w:rPr>
          <w:rFonts w:eastAsia="標楷體" w:hint="eastAsia"/>
          <w:sz w:val="26"/>
        </w:rPr>
        <w:t>RCEP</w:t>
      </w:r>
      <w:r w:rsidRPr="00F44B08">
        <w:rPr>
          <w:rFonts w:eastAsia="標楷體" w:hint="eastAsia"/>
          <w:sz w:val="26"/>
        </w:rPr>
        <w:t>、</w:t>
      </w:r>
      <w:r w:rsidR="00D21AD4">
        <w:rPr>
          <w:rFonts w:eastAsia="標楷體" w:hint="eastAsia"/>
          <w:sz w:val="26"/>
        </w:rPr>
        <w:t>「</w:t>
      </w:r>
      <w:r w:rsidRPr="00F44B08">
        <w:rPr>
          <w:rFonts w:eastAsia="標楷體" w:hint="eastAsia"/>
          <w:sz w:val="26"/>
        </w:rPr>
        <w:t>中</w:t>
      </w:r>
      <w:r w:rsidR="00D21AD4">
        <w:rPr>
          <w:rFonts w:eastAsia="標楷體" w:hint="eastAsia"/>
          <w:sz w:val="26"/>
        </w:rPr>
        <w:t>」</w:t>
      </w:r>
      <w:r w:rsidRPr="00F44B08">
        <w:rPr>
          <w:rFonts w:eastAsia="標楷體" w:hint="eastAsia"/>
          <w:sz w:val="26"/>
        </w:rPr>
        <w:t>日韓</w:t>
      </w:r>
      <w:r w:rsidRPr="00F44B08">
        <w:rPr>
          <w:rFonts w:eastAsia="標楷體" w:hint="eastAsia"/>
          <w:sz w:val="26"/>
        </w:rPr>
        <w:t>FTA</w:t>
      </w:r>
      <w:r w:rsidRPr="00F44B08">
        <w:rPr>
          <w:rFonts w:eastAsia="標楷體" w:hint="eastAsia"/>
          <w:sz w:val="26"/>
        </w:rPr>
        <w:t>與</w:t>
      </w:r>
      <w:r w:rsidRPr="00F44B08">
        <w:rPr>
          <w:rFonts w:eastAsia="標楷體" w:hint="eastAsia"/>
          <w:sz w:val="26"/>
        </w:rPr>
        <w:t>10+3</w:t>
      </w:r>
      <w:r w:rsidRPr="00F44B08">
        <w:rPr>
          <w:rFonts w:eastAsia="標楷體" w:hint="eastAsia"/>
          <w:sz w:val="26"/>
        </w:rPr>
        <w:t>等的推動都是如此。世界上約有</w:t>
      </w:r>
      <w:r w:rsidRPr="00F44B08">
        <w:rPr>
          <w:rFonts w:eastAsia="標楷體" w:hint="eastAsia"/>
          <w:sz w:val="26"/>
        </w:rPr>
        <w:t>200</w:t>
      </w:r>
      <w:r w:rsidRPr="00F44B08">
        <w:rPr>
          <w:rFonts w:eastAsia="標楷體" w:hint="eastAsia"/>
          <w:sz w:val="26"/>
        </w:rPr>
        <w:t>多個不同層面的</w:t>
      </w:r>
      <w:r w:rsidRPr="00F44B08">
        <w:rPr>
          <w:rFonts w:eastAsia="標楷體" w:hint="eastAsia"/>
          <w:sz w:val="26"/>
        </w:rPr>
        <w:t>FTA</w:t>
      </w:r>
      <w:r w:rsidRPr="00F44B08">
        <w:rPr>
          <w:rFonts w:eastAsia="標楷體" w:hint="eastAsia"/>
          <w:sz w:val="26"/>
        </w:rPr>
        <w:t>或</w:t>
      </w:r>
      <w:r w:rsidRPr="00F44B08">
        <w:rPr>
          <w:rFonts w:eastAsia="標楷體" w:hint="eastAsia"/>
          <w:sz w:val="26"/>
        </w:rPr>
        <w:t>RTA</w:t>
      </w:r>
      <w:r w:rsidRPr="00F44B08">
        <w:rPr>
          <w:rFonts w:eastAsia="標楷體" w:hint="eastAsia"/>
          <w:sz w:val="26"/>
        </w:rPr>
        <w:t>，而中國大陸目前只參與了</w:t>
      </w:r>
      <w:r w:rsidRPr="00F44B08">
        <w:rPr>
          <w:rFonts w:eastAsia="標楷體" w:hint="eastAsia"/>
          <w:sz w:val="26"/>
        </w:rPr>
        <w:t>7</w:t>
      </w:r>
      <w:r w:rsidRPr="00F44B08">
        <w:rPr>
          <w:rFonts w:eastAsia="標楷體" w:hint="eastAsia"/>
          <w:sz w:val="26"/>
        </w:rPr>
        <w:t>個，顯然在經貿協定參與方面還有很大的</w:t>
      </w:r>
      <w:r w:rsidRPr="00F44B08">
        <w:rPr>
          <w:rFonts w:eastAsia="標楷體" w:hint="eastAsia"/>
          <w:sz w:val="26"/>
        </w:rPr>
        <w:lastRenderedPageBreak/>
        <w:t>空間。外部環境上，近年來最大的變化就是美國重返亞太的動作、</w:t>
      </w:r>
      <w:r w:rsidR="00D21AD4">
        <w:rPr>
          <w:rFonts w:eastAsia="標楷體" w:hint="eastAsia"/>
          <w:sz w:val="26"/>
        </w:rPr>
        <w:t>「</w:t>
      </w:r>
      <w:r w:rsidRPr="00F44B08">
        <w:rPr>
          <w:rFonts w:eastAsia="標楷體" w:hint="eastAsia"/>
          <w:sz w:val="26"/>
        </w:rPr>
        <w:t>中</w:t>
      </w:r>
      <w:r w:rsidR="00D21AD4">
        <w:rPr>
          <w:rFonts w:eastAsia="標楷體" w:hint="eastAsia"/>
          <w:sz w:val="26"/>
        </w:rPr>
        <w:t>」</w:t>
      </w:r>
      <w:r w:rsidRPr="00F44B08">
        <w:rPr>
          <w:rFonts w:eastAsia="標楷體" w:hint="eastAsia"/>
          <w:sz w:val="26"/>
        </w:rPr>
        <w:t>日之間關於釣魚</w:t>
      </w:r>
      <w:r>
        <w:rPr>
          <w:rFonts w:eastAsia="標楷體" w:hint="eastAsia"/>
          <w:sz w:val="26"/>
        </w:rPr>
        <w:t>臺</w:t>
      </w:r>
      <w:r w:rsidRPr="00F44B08">
        <w:rPr>
          <w:rFonts w:eastAsia="標楷體" w:hint="eastAsia"/>
          <w:sz w:val="26"/>
        </w:rPr>
        <w:t>的爭議等，造成東亞經濟整合進度放緩。目前主要對外經貿重點就在於</w:t>
      </w:r>
      <w:r w:rsidRPr="00F44B08">
        <w:rPr>
          <w:rFonts w:eastAsia="標楷體" w:hint="eastAsia"/>
          <w:sz w:val="26"/>
        </w:rPr>
        <w:t>APEC</w:t>
      </w:r>
      <w:r w:rsidRPr="00F44B08">
        <w:rPr>
          <w:rFonts w:eastAsia="標楷體" w:hint="eastAsia"/>
          <w:sz w:val="26"/>
        </w:rPr>
        <w:t>下的</w:t>
      </w:r>
      <w:r w:rsidRPr="00F44B08">
        <w:rPr>
          <w:rFonts w:eastAsia="標楷體" w:hint="eastAsia"/>
          <w:sz w:val="26"/>
        </w:rPr>
        <w:t>FTAAP</w:t>
      </w:r>
      <w:r w:rsidRPr="00F44B08">
        <w:rPr>
          <w:rFonts w:eastAsia="標楷體" w:hint="eastAsia"/>
          <w:sz w:val="26"/>
        </w:rPr>
        <w:t>、</w:t>
      </w:r>
      <w:r w:rsidRPr="00F44B08">
        <w:rPr>
          <w:rFonts w:eastAsia="標楷體" w:hint="eastAsia"/>
          <w:sz w:val="26"/>
        </w:rPr>
        <w:t>RECP</w:t>
      </w:r>
      <w:r w:rsidRPr="00F44B08">
        <w:rPr>
          <w:rFonts w:eastAsia="標楷體" w:hint="eastAsia"/>
          <w:sz w:val="26"/>
        </w:rPr>
        <w:t>與一路一帶絲綢之路戰略等。</w:t>
      </w:r>
    </w:p>
    <w:p w:rsidR="00D955B5" w:rsidRPr="00F44B08" w:rsidRDefault="00D955B5" w:rsidP="00D955B5">
      <w:pPr>
        <w:numPr>
          <w:ilvl w:val="0"/>
          <w:numId w:val="20"/>
        </w:numPr>
        <w:spacing w:beforeLines="30" w:before="108" w:afterLines="30" w:after="108" w:line="520" w:lineRule="exact"/>
        <w:jc w:val="both"/>
        <w:rPr>
          <w:rFonts w:eastAsia="標楷體"/>
          <w:sz w:val="26"/>
        </w:rPr>
      </w:pPr>
      <w:r w:rsidRPr="00F44B08">
        <w:rPr>
          <w:rFonts w:eastAsia="標楷體" w:hint="eastAsia"/>
          <w:sz w:val="26"/>
        </w:rPr>
        <w:t>對外經貿戰略與內部區域關聯：以絲綢之路經濟帶而言，除了其對外在國際區域上的重要意涵外，其實也包含了對內部中西部區域發展的考量。我們可以看到關於絲綢之路，西部</w:t>
      </w:r>
      <w:r w:rsidR="00322FF7" w:rsidRPr="006263FD">
        <w:rPr>
          <w:rFonts w:eastAsia="標楷體" w:hint="eastAsia"/>
          <w:sz w:val="26"/>
        </w:rPr>
        <w:t>省份</w:t>
      </w:r>
      <w:r w:rsidRPr="00F44B08">
        <w:rPr>
          <w:rFonts w:eastAsia="標楷體" w:hint="eastAsia"/>
          <w:sz w:val="26"/>
        </w:rPr>
        <w:t>甚至比中央更積極於規劃、辦活動、會議等，次區域的合作動機被激發出來。對於中央來說，西部地區的經濟發展將能提升政治穩定度，所以此一構想事實上是整合了內外、經濟政治以及區域發展等各項想法在裡邊。</w:t>
      </w:r>
    </w:p>
    <w:p w:rsidR="00D955B5" w:rsidRDefault="00D955B5" w:rsidP="00D955B5">
      <w:pPr>
        <w:numPr>
          <w:ilvl w:val="0"/>
          <w:numId w:val="20"/>
        </w:numPr>
        <w:spacing w:beforeLines="30" w:before="108" w:afterLines="30" w:after="108" w:line="520" w:lineRule="exact"/>
        <w:jc w:val="both"/>
        <w:rPr>
          <w:rFonts w:eastAsia="標楷體"/>
          <w:sz w:val="26"/>
        </w:rPr>
      </w:pPr>
      <w:r w:rsidRPr="00F44B08">
        <w:rPr>
          <w:rFonts w:eastAsia="標楷體" w:hint="eastAsia"/>
          <w:sz w:val="26"/>
        </w:rPr>
        <w:t>上海自貿區發展動態：上海自貿區試驗其目的簡要來說就是要改革試驗、開放擴大與國際經驗積累。</w:t>
      </w:r>
      <w:r w:rsidRPr="00F44B08">
        <w:rPr>
          <w:rFonts w:eastAsia="標楷體" w:hint="eastAsia"/>
          <w:sz w:val="26"/>
        </w:rPr>
        <w:t>1</w:t>
      </w:r>
      <w:r w:rsidRPr="00F44B08">
        <w:rPr>
          <w:rFonts w:eastAsia="標楷體" w:hint="eastAsia"/>
          <w:sz w:val="26"/>
        </w:rPr>
        <w:t>年來的試驗，最近也開始進行各項評估工作，包括對外資的負面表列清單管理，雖然已經縮減了</w:t>
      </w:r>
      <w:r w:rsidRPr="00F44B08">
        <w:rPr>
          <w:rFonts w:eastAsia="標楷體" w:hint="eastAsia"/>
          <w:sz w:val="26"/>
        </w:rPr>
        <w:t>30%</w:t>
      </w:r>
      <w:r w:rsidRPr="00F44B08">
        <w:rPr>
          <w:rFonts w:eastAsia="標楷體" w:hint="eastAsia"/>
          <w:sz w:val="26"/>
        </w:rPr>
        <w:t>，但其實外界還是很不滿意，且這</w:t>
      </w:r>
      <w:r w:rsidRPr="00F44B08">
        <w:rPr>
          <w:rFonts w:eastAsia="標楷體" w:hint="eastAsia"/>
          <w:sz w:val="26"/>
        </w:rPr>
        <w:t>30%</w:t>
      </w:r>
      <w:r w:rsidRPr="00F44B08">
        <w:rPr>
          <w:rFonts w:eastAsia="標楷體" w:hint="eastAsia"/>
          <w:sz w:val="26"/>
        </w:rPr>
        <w:t>多半是技術性的而非實質性的，尤其是金融部分。貿易方面，多半是在海關通關、檢驗檢疫等方面有進展，這對於上海航運中心是有幫助，但主要仍在通關效率提升方面。關於政府監管轉型方面其實做得還不多，主要進度在於建立了政府部門間的信息共享平</w:t>
      </w:r>
      <w:r>
        <w:rPr>
          <w:rFonts w:eastAsia="標楷體" w:hint="eastAsia"/>
          <w:sz w:val="26"/>
        </w:rPr>
        <w:t>臺</w:t>
      </w:r>
      <w:r w:rsidRPr="00F44B08">
        <w:rPr>
          <w:rFonts w:eastAsia="標楷體" w:hint="eastAsia"/>
          <w:sz w:val="26"/>
        </w:rPr>
        <w:t>方面，在第三方監管以及深化市場作用上還有待努力。目前上海自貿區一個很大的問題在於其地理區域並未對應到既有之政府層級，例如浦東新區，導致管理上或是試驗上很多困難不易解決。</w:t>
      </w:r>
    </w:p>
    <w:p w:rsidR="00D955B5" w:rsidRPr="00F44B08" w:rsidRDefault="00D955B5" w:rsidP="00D955B5">
      <w:pPr>
        <w:numPr>
          <w:ilvl w:val="0"/>
          <w:numId w:val="20"/>
        </w:numPr>
        <w:spacing w:beforeLines="30" w:before="108" w:afterLines="30" w:after="108" w:line="520" w:lineRule="exact"/>
        <w:jc w:val="both"/>
        <w:rPr>
          <w:rFonts w:eastAsia="標楷體"/>
          <w:sz w:val="26"/>
        </w:rPr>
      </w:pPr>
      <w:r w:rsidRPr="00F44B08">
        <w:rPr>
          <w:rFonts w:eastAsia="標楷體" w:hint="eastAsia"/>
          <w:sz w:val="26"/>
        </w:rPr>
        <w:t>自貿區發展未來：上海自貿區試驗不曾說只試驗</w:t>
      </w:r>
      <w:r w:rsidRPr="00F44B08">
        <w:rPr>
          <w:rFonts w:eastAsia="標楷體" w:hint="eastAsia"/>
          <w:sz w:val="26"/>
        </w:rPr>
        <w:t>3</w:t>
      </w:r>
      <w:r w:rsidRPr="00F44B08">
        <w:rPr>
          <w:rFonts w:eastAsia="標楷體" w:hint="eastAsia"/>
          <w:sz w:val="26"/>
        </w:rPr>
        <w:t>年，只是目前部分外資相關法規人大批准之豁免期限是</w:t>
      </w:r>
      <w:r w:rsidRPr="00F44B08">
        <w:rPr>
          <w:rFonts w:eastAsia="標楷體" w:hint="eastAsia"/>
          <w:sz w:val="26"/>
        </w:rPr>
        <w:t>3</w:t>
      </w:r>
      <w:r w:rsidRPr="00F44B08">
        <w:rPr>
          <w:rFonts w:eastAsia="標楷體" w:hint="eastAsia"/>
          <w:sz w:val="26"/>
        </w:rPr>
        <w:t>年，導致此說。</w:t>
      </w:r>
      <w:r w:rsidRPr="00F44B08">
        <w:rPr>
          <w:rFonts w:eastAsia="標楷體" w:hint="eastAsia"/>
          <w:sz w:val="26"/>
        </w:rPr>
        <w:t>3</w:t>
      </w:r>
      <w:r w:rsidRPr="00F44B08">
        <w:rPr>
          <w:rFonts w:eastAsia="標楷體" w:hint="eastAsia"/>
          <w:sz w:val="26"/>
        </w:rPr>
        <w:t>年後勢必要重新就這些法規調整，所以是一個可能的階段。未來</w:t>
      </w:r>
      <w:r w:rsidRPr="00F44B08">
        <w:rPr>
          <w:rFonts w:eastAsia="標楷體" w:hint="eastAsia"/>
          <w:sz w:val="26"/>
        </w:rPr>
        <w:t>2</w:t>
      </w:r>
      <w:r w:rsidRPr="00F44B08">
        <w:rPr>
          <w:rFonts w:eastAsia="標楷體" w:hint="eastAsia"/>
          <w:sz w:val="26"/>
        </w:rPr>
        <w:t>年自貿區試驗進一步開展的內容，端賴未來中美與中歐的投資協定談判進度。至於其他自貿區方面，目前比較肯定的是天津以及廣東將獲批，但其自貿</w:t>
      </w:r>
      <w:r w:rsidRPr="00F44B08">
        <w:rPr>
          <w:rFonts w:eastAsia="標楷體" w:hint="eastAsia"/>
          <w:sz w:val="26"/>
        </w:rPr>
        <w:lastRenderedPageBreak/>
        <w:t>區試驗內容肯定與上海不同，其試驗的地理範圍也一定更大，例如廣東必然以貨品自由貿易為重點試驗內容。</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Pr>
          <w:rFonts w:eastAsia="標楷體" w:hint="eastAsia"/>
          <w:b/>
          <w:sz w:val="26"/>
        </w:rPr>
        <w:t>三</w:t>
      </w:r>
      <w:r w:rsidRPr="008208DA">
        <w:rPr>
          <w:rFonts w:eastAsia="標楷體" w:hint="eastAsia"/>
          <w:b/>
          <w:sz w:val="26"/>
        </w:rPr>
        <w:t>、</w:t>
      </w:r>
      <w:r w:rsidRPr="00781353">
        <w:rPr>
          <w:rFonts w:eastAsia="標楷體" w:hint="eastAsia"/>
          <w:b/>
          <w:sz w:val="26"/>
        </w:rPr>
        <w:t>營改增試點情況與產業影響</w:t>
      </w:r>
      <w:r w:rsidRPr="008208DA">
        <w:rPr>
          <w:rFonts w:eastAsia="標楷體" w:hint="eastAsia"/>
          <w:b/>
          <w:sz w:val="26"/>
        </w:rPr>
        <w:t>。</w:t>
      </w:r>
    </w:p>
    <w:p w:rsidR="00D955B5" w:rsidRDefault="00D955B5" w:rsidP="00D955B5">
      <w:pPr>
        <w:numPr>
          <w:ilvl w:val="0"/>
          <w:numId w:val="21"/>
        </w:numPr>
        <w:spacing w:beforeLines="30" w:before="108" w:afterLines="30" w:after="108" w:line="520" w:lineRule="exact"/>
        <w:jc w:val="both"/>
        <w:rPr>
          <w:rFonts w:eastAsia="標楷體"/>
          <w:sz w:val="26"/>
        </w:rPr>
      </w:pPr>
      <w:r w:rsidRPr="00781353">
        <w:rPr>
          <w:rFonts w:eastAsia="標楷體" w:hint="eastAsia"/>
          <w:sz w:val="26"/>
        </w:rPr>
        <w:t>營改增全國試點以來至今之成效評估：針對營改增試點的成效，可以從定量或定性的方式來談，此外還可以區分為對於試點企業稅負、對於企業行為以及對於整體產業鏈的影響等三層次。就企業稅負方面，比較有些量化的評估，例如根據上海市財政和稅務部門的統計，上海</w:t>
      </w:r>
      <w:r w:rsidRPr="00781353">
        <w:rPr>
          <w:rFonts w:eastAsia="標楷體" w:hint="eastAsia"/>
          <w:sz w:val="26"/>
        </w:rPr>
        <w:t>2012</w:t>
      </w:r>
      <w:r w:rsidRPr="00781353">
        <w:rPr>
          <w:rFonts w:eastAsia="標楷體" w:hint="eastAsia"/>
          <w:sz w:val="26"/>
        </w:rPr>
        <w:t>年超過</w:t>
      </w:r>
      <w:r w:rsidRPr="00781353">
        <w:rPr>
          <w:rFonts w:eastAsia="標楷體" w:hint="eastAsia"/>
          <w:sz w:val="26"/>
        </w:rPr>
        <w:t>90%</w:t>
      </w:r>
      <w:r w:rsidRPr="00781353">
        <w:rPr>
          <w:rFonts w:eastAsia="標楷體" w:hint="eastAsia"/>
          <w:sz w:val="26"/>
        </w:rPr>
        <w:t>的試點企業稅負明顯減輕，稅負有所增加的企業不到</w:t>
      </w:r>
      <w:r w:rsidRPr="00781353">
        <w:rPr>
          <w:rFonts w:eastAsia="標楷體" w:hint="eastAsia"/>
          <w:sz w:val="26"/>
        </w:rPr>
        <w:t>10%</w:t>
      </w:r>
      <w:r w:rsidRPr="00781353">
        <w:rPr>
          <w:rFonts w:eastAsia="標楷體" w:hint="eastAsia"/>
          <w:sz w:val="26"/>
        </w:rPr>
        <w:t>。這是因為營改增之後，服務業外購材料、設備、服務承擔的進項增值稅允許在銷項增值稅中抵扣，從而避免了服務類企業與上游企業之間的重複徵稅，減輕了服務類企業的稅收負擔。若以產業的觀點來看，營改增造成的產業稅負變化影響可簡要歸納為：一、若下游工商企業為增值稅一般納稅人，其稅負都將有所減少；二、下游工商企業稅負變動幅度要遠大於上游服務類企業稅負變動幅度；三、下游企業如為增值稅一般納稅人，稅負可抵扣而減輕，若為非增值稅一般納稅人不能抵扣，稅負不減還有可能增加；四、增值稅一般納稅人和小規模納稅人減稅影響方式不同。因此，服務業營改增對於一般納稅人是改在服務業，利在工商業；而對於小規模納稅人是改在服務業，利在服務業。</w:t>
      </w:r>
    </w:p>
    <w:p w:rsidR="00D955B5" w:rsidRPr="00781353" w:rsidRDefault="00D955B5" w:rsidP="00D955B5">
      <w:pPr>
        <w:numPr>
          <w:ilvl w:val="0"/>
          <w:numId w:val="21"/>
        </w:numPr>
        <w:spacing w:beforeLines="30" w:before="108" w:afterLines="30" w:after="108" w:line="520" w:lineRule="exact"/>
        <w:jc w:val="both"/>
        <w:rPr>
          <w:rFonts w:eastAsia="標楷體"/>
          <w:sz w:val="26"/>
        </w:rPr>
      </w:pPr>
      <w:r w:rsidRPr="00781353">
        <w:rPr>
          <w:rFonts w:eastAsia="標楷體" w:hint="eastAsia"/>
          <w:sz w:val="26"/>
        </w:rPr>
        <w:t>針對企業行為與產業鏈效益方面：實施營改增除了減輕企業稅負外，對試點企業經濟行為的影響可歸納為以下幾點，包括議價能力提升、設備更新加快、服務外包增多、組織結構調整、競爭能力增強、境外業務拓展等方面。而對於包括試點企業產業以及其他受其影響的上下游產業鏈整體而言，營改增的試點效應主要表現於經濟結構調整、產業層次提升、重點企業發展、經營規模擴大、新興業態成長、總部集聚效應、服務貿易增強、區域競爭優勢等等方面。然而，以上兩層面</w:t>
      </w:r>
      <w:r w:rsidRPr="00781353">
        <w:rPr>
          <w:rFonts w:eastAsia="標楷體" w:hint="eastAsia"/>
          <w:sz w:val="26"/>
        </w:rPr>
        <w:lastRenderedPageBreak/>
        <w:t>之效益由於其牽連太廣、產業鏈之間的影響是相互、多重且互動的，加以營改增試點時間尚短，目前沒有量化的評估結果。</w:t>
      </w:r>
    </w:p>
    <w:p w:rsidR="00D955B5" w:rsidRPr="00781353" w:rsidRDefault="00D955B5" w:rsidP="00D955B5">
      <w:pPr>
        <w:numPr>
          <w:ilvl w:val="0"/>
          <w:numId w:val="21"/>
        </w:numPr>
        <w:spacing w:beforeLines="30" w:before="108" w:afterLines="30" w:after="108" w:line="520" w:lineRule="exact"/>
        <w:jc w:val="both"/>
        <w:rPr>
          <w:rFonts w:eastAsia="標楷體"/>
          <w:sz w:val="26"/>
        </w:rPr>
      </w:pPr>
      <w:r w:rsidRPr="00781353">
        <w:rPr>
          <w:rFonts w:eastAsia="標楷體" w:hint="eastAsia"/>
          <w:sz w:val="26"/>
        </w:rPr>
        <w:t>營改增對於上海的影響：上海要建立服務經濟為主體的結構，必須打破三大障礙。一是體制障礙，二是管制障礙，允許充分競爭。三是稅制障礙，實行制度變革。上海先進行了營改增試點，部分服務業開始開增值稅發票，但上海以外其他地方仍是開營業稅發票，所以剛開始時，長三角地區有一大批企業流向上海註冊，業務量大增。周邊地區後來才感覺到問題嚴重，但擴大到全國範圍後就沒問題了。</w:t>
      </w:r>
    </w:p>
    <w:p w:rsidR="00D955B5" w:rsidRPr="00781353" w:rsidRDefault="00D955B5" w:rsidP="00D955B5">
      <w:pPr>
        <w:numPr>
          <w:ilvl w:val="0"/>
          <w:numId w:val="21"/>
        </w:numPr>
        <w:spacing w:beforeLines="30" w:before="108" w:afterLines="30" w:after="108" w:line="520" w:lineRule="exact"/>
        <w:jc w:val="both"/>
        <w:rPr>
          <w:rFonts w:eastAsia="標楷體"/>
          <w:sz w:val="26"/>
        </w:rPr>
      </w:pPr>
      <w:r w:rsidRPr="00781353">
        <w:rPr>
          <w:rFonts w:eastAsia="標楷體" w:hint="eastAsia"/>
          <w:sz w:val="26"/>
        </w:rPr>
        <w:t>營改增推行後對於財政改革之影響：營改增同時涉及中央與地方的財政關係是因為營業稅為地方稅</w:t>
      </w:r>
      <w:r>
        <w:rPr>
          <w:rFonts w:eastAsia="標楷體" w:hint="eastAsia"/>
          <w:sz w:val="26"/>
        </w:rPr>
        <w:t>，而增值稅為中央與地方共享稅，為平衡和協調中央與地方財政關係，營改增</w:t>
      </w:r>
      <w:r w:rsidRPr="00781353">
        <w:rPr>
          <w:rFonts w:eastAsia="標楷體" w:hint="eastAsia"/>
          <w:sz w:val="26"/>
        </w:rPr>
        <w:t>推行後稅收歸屬採取了「一稅兩制」模式：工商業增值稅仍由中央與地方共用，而試點服務業增值稅仍視為地方稅歸地方所有。但未來財政改革不可能存留如此權宜的制度，因此這也是為何財政部長樓繼偉曾說，營改增一旦覆蓋全部地區與全部行業，將倒逼財政體制改革，中央和地方分配關係怎麼改，是擺在財稅部門面前的大題目。</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Pr>
          <w:rFonts w:eastAsia="標楷體" w:hint="eastAsia"/>
          <w:b/>
          <w:sz w:val="26"/>
        </w:rPr>
        <w:t>四</w:t>
      </w:r>
      <w:r w:rsidRPr="008208DA">
        <w:rPr>
          <w:rFonts w:eastAsia="標楷體" w:hint="eastAsia"/>
          <w:b/>
          <w:sz w:val="26"/>
        </w:rPr>
        <w:t>、</w:t>
      </w:r>
      <w:r w:rsidRPr="00123103">
        <w:rPr>
          <w:rFonts w:eastAsia="標楷體" w:hint="eastAsia"/>
          <w:b/>
          <w:sz w:val="26"/>
        </w:rPr>
        <w:t>從大陸政策變動與改革看未來兩岸經貿動向</w:t>
      </w:r>
      <w:r w:rsidRPr="008208DA">
        <w:rPr>
          <w:rFonts w:eastAsia="標楷體" w:hint="eastAsia"/>
          <w:b/>
          <w:sz w:val="26"/>
        </w:rPr>
        <w:t>。</w:t>
      </w:r>
    </w:p>
    <w:p w:rsidR="00D955B5" w:rsidRDefault="00D955B5" w:rsidP="00D955B5">
      <w:pPr>
        <w:numPr>
          <w:ilvl w:val="0"/>
          <w:numId w:val="22"/>
        </w:numPr>
        <w:spacing w:beforeLines="30" w:before="108" w:afterLines="30" w:after="108" w:line="520" w:lineRule="exact"/>
        <w:jc w:val="both"/>
        <w:rPr>
          <w:rFonts w:eastAsia="標楷體"/>
          <w:sz w:val="26"/>
        </w:rPr>
      </w:pPr>
      <w:r w:rsidRPr="00123103">
        <w:rPr>
          <w:rFonts w:eastAsia="標楷體" w:hint="eastAsia"/>
          <w:sz w:val="26"/>
        </w:rPr>
        <w:t>近來對於</w:t>
      </w:r>
      <w:r>
        <w:rPr>
          <w:rFonts w:eastAsia="標楷體" w:hint="eastAsia"/>
          <w:sz w:val="26"/>
        </w:rPr>
        <w:t>臺</w:t>
      </w:r>
      <w:r w:rsidRPr="00123103">
        <w:rPr>
          <w:rFonts w:eastAsia="標楷體" w:hint="eastAsia"/>
          <w:sz w:val="26"/>
        </w:rPr>
        <w:t>灣參與區域經濟合作之看法：</w:t>
      </w:r>
      <w:r>
        <w:rPr>
          <w:rFonts w:eastAsia="標楷體" w:hint="eastAsia"/>
          <w:sz w:val="26"/>
        </w:rPr>
        <w:t>臺</w:t>
      </w:r>
      <w:r w:rsidRPr="00123103">
        <w:rPr>
          <w:rFonts w:eastAsia="標楷體" w:hint="eastAsia"/>
          <w:sz w:val="26"/>
        </w:rPr>
        <w:t>灣對於參與區域經濟合作一直期望很高，但此事很難避開大陸方面的意見與干涉，兩岸應該就此議題好好溝通，究竟以何種方式和途徑較可能實現，因此開展共同研究是很有必要的，可以先就雙方意見與困難等先進行溝通。總的來說，大陸是希望臺灣參與區域經濟組織，透過共同研究這種路徑，可能是啟動此事較好的開始。以</w:t>
      </w:r>
      <w:r>
        <w:rPr>
          <w:rFonts w:eastAsia="標楷體" w:hint="eastAsia"/>
          <w:sz w:val="26"/>
        </w:rPr>
        <w:t>臺</w:t>
      </w:r>
      <w:r w:rsidRPr="00123103">
        <w:rPr>
          <w:rFonts w:eastAsia="標楷體" w:hint="eastAsia"/>
          <w:sz w:val="26"/>
        </w:rPr>
        <w:t>灣加入</w:t>
      </w:r>
      <w:r w:rsidRPr="00123103">
        <w:rPr>
          <w:rFonts w:eastAsia="標楷體" w:hint="eastAsia"/>
          <w:sz w:val="26"/>
        </w:rPr>
        <w:t>TPP</w:t>
      </w:r>
      <w:r w:rsidRPr="00123103">
        <w:rPr>
          <w:rFonts w:eastAsia="標楷體" w:hint="eastAsia"/>
          <w:sz w:val="26"/>
        </w:rPr>
        <w:t>來說，難度除了政治問題之外，還有</w:t>
      </w:r>
      <w:r w:rsidRPr="00123103">
        <w:rPr>
          <w:rFonts w:eastAsia="標楷體" w:hint="eastAsia"/>
          <w:sz w:val="26"/>
        </w:rPr>
        <w:t>TPP</w:t>
      </w:r>
      <w:r w:rsidRPr="00123103">
        <w:rPr>
          <w:rFonts w:eastAsia="標楷體" w:hint="eastAsia"/>
          <w:sz w:val="26"/>
        </w:rPr>
        <w:t>本身的嚴苛條件，事實上對於兩岸來說加入都有很大難度。比如</w:t>
      </w:r>
      <w:r w:rsidRPr="00123103">
        <w:rPr>
          <w:rFonts w:eastAsia="標楷體" w:hint="eastAsia"/>
          <w:sz w:val="26"/>
        </w:rPr>
        <w:t>TPP</w:t>
      </w:r>
      <w:r w:rsidRPr="00123103">
        <w:rPr>
          <w:rFonts w:eastAsia="標楷體" w:hint="eastAsia"/>
          <w:sz w:val="26"/>
        </w:rPr>
        <w:t>涉及的全面農</w:t>
      </w:r>
      <w:r w:rsidRPr="00123103">
        <w:rPr>
          <w:rFonts w:eastAsia="標楷體" w:hint="eastAsia"/>
          <w:sz w:val="26"/>
        </w:rPr>
        <w:t xml:space="preserve"> </w:t>
      </w:r>
      <w:r w:rsidRPr="00123103">
        <w:rPr>
          <w:rFonts w:eastAsia="標楷體" w:hint="eastAsia"/>
          <w:sz w:val="26"/>
        </w:rPr>
        <w:t>產品開放、勞工標準、碳排放標準等，要求很高；此外，</w:t>
      </w:r>
      <w:r w:rsidRPr="00123103">
        <w:rPr>
          <w:rFonts w:eastAsia="標楷體" w:hint="eastAsia"/>
          <w:sz w:val="26"/>
        </w:rPr>
        <w:t>TPP</w:t>
      </w:r>
      <w:r w:rsidRPr="00123103">
        <w:rPr>
          <w:rFonts w:eastAsia="標楷體" w:hint="eastAsia"/>
          <w:sz w:val="26"/>
        </w:rPr>
        <w:t>談判進程也不順利，其發展前景還需要更詳細</w:t>
      </w:r>
      <w:r w:rsidRPr="00123103">
        <w:rPr>
          <w:rFonts w:eastAsia="標楷體" w:hint="eastAsia"/>
          <w:sz w:val="26"/>
        </w:rPr>
        <w:lastRenderedPageBreak/>
        <w:t>的評估。</w:t>
      </w:r>
    </w:p>
    <w:p w:rsidR="00D955B5" w:rsidRPr="00123103" w:rsidRDefault="00D955B5" w:rsidP="00D955B5">
      <w:pPr>
        <w:numPr>
          <w:ilvl w:val="0"/>
          <w:numId w:val="22"/>
        </w:numPr>
        <w:spacing w:beforeLines="30" w:before="108" w:afterLines="30" w:after="108" w:line="520" w:lineRule="exact"/>
        <w:jc w:val="both"/>
        <w:rPr>
          <w:rFonts w:eastAsia="標楷體"/>
          <w:sz w:val="26"/>
        </w:rPr>
      </w:pPr>
      <w:r w:rsidRPr="00123103">
        <w:rPr>
          <w:rFonts w:eastAsia="標楷體" w:hint="eastAsia"/>
          <w:sz w:val="26"/>
        </w:rPr>
        <w:t>就兩岸產業合作之看法：兩岸產業合作從</w:t>
      </w:r>
      <w:r w:rsidRPr="00123103">
        <w:rPr>
          <w:rFonts w:eastAsia="標楷體" w:hint="eastAsia"/>
          <w:sz w:val="26"/>
        </w:rPr>
        <w:t>2005</w:t>
      </w:r>
      <w:r w:rsidRPr="00123103">
        <w:rPr>
          <w:rFonts w:eastAsia="標楷體" w:hint="eastAsia"/>
          <w:sz w:val="26"/>
        </w:rPr>
        <w:t>年開始談判，特別是自</w:t>
      </w:r>
      <w:r w:rsidRPr="00123103">
        <w:rPr>
          <w:rFonts w:eastAsia="標楷體" w:hint="eastAsia"/>
          <w:sz w:val="26"/>
        </w:rPr>
        <w:t>2008</w:t>
      </w:r>
      <w:r w:rsidRPr="00123103">
        <w:rPr>
          <w:rFonts w:eastAsia="標楷體" w:hint="eastAsia"/>
          <w:sz w:val="26"/>
        </w:rPr>
        <w:t>年以來舉辦了</w:t>
      </w:r>
      <w:r w:rsidRPr="00123103">
        <w:rPr>
          <w:rFonts w:eastAsia="標楷體" w:hint="eastAsia"/>
          <w:sz w:val="26"/>
        </w:rPr>
        <w:t>3</w:t>
      </w:r>
      <w:r w:rsidRPr="00123103">
        <w:rPr>
          <w:rFonts w:eastAsia="標楷體" w:hint="eastAsia"/>
          <w:sz w:val="26"/>
        </w:rPr>
        <w:t>次產業合作論壇，選定了</w:t>
      </w:r>
      <w:r w:rsidRPr="00123103">
        <w:rPr>
          <w:rFonts w:eastAsia="標楷體" w:hint="eastAsia"/>
          <w:sz w:val="26"/>
        </w:rPr>
        <w:t>6</w:t>
      </w:r>
      <w:r w:rsidRPr="00123103">
        <w:rPr>
          <w:rFonts w:eastAsia="標楷體" w:hint="eastAsia"/>
          <w:sz w:val="26"/>
        </w:rPr>
        <w:t>項合作產業，然而基本上仍停留在產業交流層面；兩岸產業鏈主要體現為投資帶動貿易形態，以機電類的中間加工產品為核心，兩岸分工從事附加價值較低的加工貿易和代工組裝。最主要特點是出口導向，而不是為內需市場服務，目前大陸政府要求民眾實質所得與經濟成長同步，內需消費市場長線看好，</w:t>
      </w:r>
      <w:r>
        <w:rPr>
          <w:rFonts w:eastAsia="標楷體" w:hint="eastAsia"/>
          <w:sz w:val="26"/>
        </w:rPr>
        <w:t>臺</w:t>
      </w:r>
      <w:r w:rsidRPr="00123103">
        <w:rPr>
          <w:rFonts w:eastAsia="標楷體" w:hint="eastAsia"/>
          <w:sz w:val="26"/>
        </w:rPr>
        <w:t>商應在拓展大陸內需市場中發揮積極作用。此外，大陸大力扶持戰略新興產業，兩岸可在新興產業方面尋求高附加值的合作新模式。但兩岸產業合作的合理分工與</w:t>
      </w:r>
      <w:r w:rsidR="00E41F3A">
        <w:rPr>
          <w:rFonts w:eastAsia="標楷體" w:hint="eastAsia"/>
          <w:sz w:val="26"/>
        </w:rPr>
        <w:t>布局</w:t>
      </w:r>
      <w:r w:rsidRPr="00123103">
        <w:rPr>
          <w:rFonts w:eastAsia="標楷體" w:hint="eastAsia"/>
          <w:sz w:val="26"/>
        </w:rPr>
        <w:t>，需要兩岸共同加強研究探討，達成共識，確立共同願景與目標，進行頂層設計，共同加以推動。</w:t>
      </w:r>
    </w:p>
    <w:p w:rsidR="00D955B5" w:rsidRDefault="00D955B5" w:rsidP="00D955B5">
      <w:pPr>
        <w:numPr>
          <w:ilvl w:val="0"/>
          <w:numId w:val="22"/>
        </w:numPr>
        <w:spacing w:beforeLines="30" w:before="108" w:afterLines="30" w:after="108" w:line="520" w:lineRule="exact"/>
        <w:jc w:val="both"/>
        <w:rPr>
          <w:rFonts w:eastAsia="標楷體"/>
          <w:sz w:val="26"/>
        </w:rPr>
      </w:pPr>
      <w:r w:rsidRPr="00123103">
        <w:rPr>
          <w:rFonts w:eastAsia="標楷體" w:hint="eastAsia"/>
          <w:sz w:val="26"/>
        </w:rPr>
        <w:t>兩岸區域對區域之合作：</w:t>
      </w:r>
      <w:r>
        <w:rPr>
          <w:rFonts w:eastAsia="標楷體" w:hint="eastAsia"/>
          <w:sz w:val="26"/>
        </w:rPr>
        <w:t>臺</w:t>
      </w:r>
      <w:r w:rsidRPr="00123103">
        <w:rPr>
          <w:rFonts w:eastAsia="標楷體" w:hint="eastAsia"/>
          <w:sz w:val="26"/>
        </w:rPr>
        <w:t>灣正在建構「自由經濟示範區」，大陸方面則有上海自貿區、平潭綜合實驗區以及昆山深化兩岸產業合作試驗區等具有實現兩岸區隊區合作潛力的幾個地方；除昆山外，其餘各區都具備</w:t>
      </w:r>
      <w:r>
        <w:rPr>
          <w:rFonts w:eastAsia="標楷體" w:hint="eastAsia"/>
          <w:sz w:val="26"/>
        </w:rPr>
        <w:t>「</w:t>
      </w:r>
      <w:r w:rsidRPr="00123103">
        <w:rPr>
          <w:rFonts w:eastAsia="標楷體" w:hint="eastAsia"/>
          <w:sz w:val="26"/>
        </w:rPr>
        <w:t>境內關外、一線放開、二線管住</w:t>
      </w:r>
      <w:r>
        <w:rPr>
          <w:rFonts w:eastAsia="標楷體" w:hint="eastAsia"/>
          <w:sz w:val="26"/>
        </w:rPr>
        <w:t>」</w:t>
      </w:r>
      <w:r w:rsidRPr="00123103">
        <w:rPr>
          <w:rFonts w:eastAsia="標楷體" w:hint="eastAsia"/>
          <w:sz w:val="26"/>
        </w:rPr>
        <w:t>的自由貿易功能，在市場准入和人員、資金等生產要素流動方面也具有遠超過</w:t>
      </w:r>
      <w:r>
        <w:rPr>
          <w:rFonts w:eastAsia="標楷體" w:hint="eastAsia"/>
          <w:sz w:val="26"/>
        </w:rPr>
        <w:t>「</w:t>
      </w:r>
      <w:r w:rsidRPr="00123103">
        <w:rPr>
          <w:rFonts w:eastAsia="標楷體" w:hint="eastAsia"/>
          <w:sz w:val="26"/>
        </w:rPr>
        <w:t>關境</w:t>
      </w:r>
      <w:r>
        <w:rPr>
          <w:rFonts w:eastAsia="標楷體" w:hint="eastAsia"/>
          <w:sz w:val="26"/>
        </w:rPr>
        <w:t>」</w:t>
      </w:r>
      <w:r w:rsidRPr="00123103">
        <w:rPr>
          <w:rFonts w:eastAsia="標楷體" w:hint="eastAsia"/>
          <w:sz w:val="26"/>
        </w:rPr>
        <w:t>內的開放度。因此，兩岸區域間的合作對接等同於生產要素可在兩岸間更自由的流動，形成微型共同市場，同時，以保稅形式或前店後廠形式，還可以讓其擴大運行範圍到區外，值得兩岸持續探討。</w:t>
      </w:r>
    </w:p>
    <w:p w:rsidR="00D955B5" w:rsidRPr="008208DA" w:rsidRDefault="00D955B5" w:rsidP="00D955B5">
      <w:pPr>
        <w:tabs>
          <w:tab w:val="num" w:pos="480"/>
        </w:tabs>
        <w:spacing w:beforeLines="30" w:before="108" w:afterLines="30" w:after="108" w:line="520" w:lineRule="exact"/>
        <w:ind w:left="480" w:hanging="480"/>
        <w:jc w:val="both"/>
        <w:rPr>
          <w:rFonts w:eastAsia="標楷體"/>
          <w:b/>
          <w:sz w:val="26"/>
        </w:rPr>
      </w:pPr>
      <w:r>
        <w:rPr>
          <w:rFonts w:eastAsia="標楷體" w:hint="eastAsia"/>
          <w:b/>
          <w:sz w:val="26"/>
        </w:rPr>
        <w:t>五</w:t>
      </w:r>
      <w:r w:rsidRPr="008208DA">
        <w:rPr>
          <w:rFonts w:eastAsia="標楷體" w:hint="eastAsia"/>
          <w:b/>
          <w:sz w:val="26"/>
        </w:rPr>
        <w:t>、</w:t>
      </w:r>
      <w:r>
        <w:rPr>
          <w:rFonts w:eastAsia="標楷體" w:hint="eastAsia"/>
          <w:b/>
          <w:sz w:val="26"/>
        </w:rPr>
        <w:t>關於</w:t>
      </w:r>
      <w:r w:rsidRPr="00123103">
        <w:rPr>
          <w:rFonts w:eastAsia="標楷體" w:hint="eastAsia"/>
          <w:b/>
          <w:sz w:val="26"/>
        </w:rPr>
        <w:t>新型城鎮化</w:t>
      </w:r>
      <w:r>
        <w:rPr>
          <w:rFonts w:eastAsia="標楷體" w:hint="eastAsia"/>
          <w:b/>
          <w:sz w:val="26"/>
        </w:rPr>
        <w:t>規劃與未來展望</w:t>
      </w:r>
      <w:r w:rsidRPr="008208DA">
        <w:rPr>
          <w:rFonts w:eastAsia="標楷體" w:hint="eastAsia"/>
          <w:b/>
          <w:sz w:val="26"/>
        </w:rPr>
        <w:t>。</w:t>
      </w:r>
    </w:p>
    <w:p w:rsidR="00D955B5" w:rsidRPr="00AD2471" w:rsidRDefault="00D955B5" w:rsidP="00D955B5">
      <w:pPr>
        <w:numPr>
          <w:ilvl w:val="0"/>
          <w:numId w:val="24"/>
        </w:numPr>
        <w:spacing w:beforeLines="30" w:before="108" w:afterLines="30" w:after="108" w:line="520" w:lineRule="exact"/>
        <w:jc w:val="both"/>
        <w:rPr>
          <w:rFonts w:eastAsia="標楷體"/>
          <w:sz w:val="26"/>
        </w:rPr>
      </w:pPr>
      <w:r w:rsidRPr="00AD2471">
        <w:rPr>
          <w:rFonts w:eastAsia="標楷體" w:hint="eastAsia"/>
          <w:sz w:val="26"/>
        </w:rPr>
        <w:t>中國大陸新型城鎮化之規劃看法：大陸城市化是伴隨經濟發展過程的一個現象，裡頭參雜著大陸特有的許多制度或特色，例如限制性的戶籍制度等。隨著經濟相對取得發展，過去忽視的議題或是累積的問題開始逐漸進入人民的視野，很多該要調整的制度沒有改革、該要處理的問題沒有面對，現在都逐漸到了必須認真解決的時候，而新型城鎮</w:t>
      </w:r>
      <w:r w:rsidRPr="00AD2471">
        <w:rPr>
          <w:rFonts w:eastAsia="標楷體" w:hint="eastAsia"/>
          <w:sz w:val="26"/>
        </w:rPr>
        <w:lastRenderedPageBreak/>
        <w:t>化規劃其實就是試圖解決一些與城市化或城鎮化有關的問題的政策，許多問題都是舊的、整體的、相互關聯的，也不能指望新的單一規劃能夠完全解決，必須要逐漸地、科學地、前瞻地來處理。現行的土地和戶籍管理制度、財政體制、官員考核體制的困境必須有所突破。</w:t>
      </w:r>
    </w:p>
    <w:p w:rsidR="00D955B5" w:rsidRPr="00AD2471" w:rsidRDefault="00D955B5" w:rsidP="00D955B5">
      <w:pPr>
        <w:numPr>
          <w:ilvl w:val="0"/>
          <w:numId w:val="24"/>
        </w:numPr>
        <w:spacing w:beforeLines="30" w:before="108" w:afterLines="30" w:after="108" w:line="520" w:lineRule="exact"/>
        <w:jc w:val="both"/>
        <w:rPr>
          <w:rFonts w:eastAsia="標楷體"/>
          <w:sz w:val="26"/>
        </w:rPr>
      </w:pPr>
      <w:r w:rsidRPr="00AD2471">
        <w:rPr>
          <w:rFonts w:eastAsia="標楷體" w:hint="eastAsia"/>
          <w:sz w:val="26"/>
        </w:rPr>
        <w:t>未來城鎮化的挑戰：土地是一個城鎮化當中很難處理的問題，環繞著土地的相關議題很廣，從影響層面上來說，既是經濟與產業議題也是社會問題；從牽連議題上看，與戶籍、農村發展、財政等問題都相關；從現實上來看，既成的地方政府土地財政模式以及在土地上獲得既得利益者也成形，都有許多改革困難，需要各方面的配套來齊力推進。</w:t>
      </w:r>
    </w:p>
    <w:p w:rsidR="00D955B5" w:rsidRPr="00AD2471" w:rsidRDefault="00D955B5" w:rsidP="00D955B5">
      <w:pPr>
        <w:numPr>
          <w:ilvl w:val="0"/>
          <w:numId w:val="24"/>
        </w:numPr>
        <w:spacing w:beforeLines="30" w:before="108" w:afterLines="30" w:after="108" w:line="520" w:lineRule="exact"/>
        <w:jc w:val="both"/>
        <w:rPr>
          <w:rFonts w:eastAsia="標楷體"/>
          <w:sz w:val="26"/>
        </w:rPr>
      </w:pPr>
      <w:r w:rsidRPr="00AD2471">
        <w:rPr>
          <w:rFonts w:eastAsia="標楷體" w:hint="eastAsia"/>
          <w:sz w:val="26"/>
        </w:rPr>
        <w:t>城鎮化與金融體系間的關係：由於在城鎮化過程中，地方政府必須投入大量的資金，因地方政府不能自主發債，衍生出地方融資平</w:t>
      </w:r>
      <w:r>
        <w:rPr>
          <w:rFonts w:eastAsia="標楷體" w:hint="eastAsia"/>
          <w:sz w:val="26"/>
        </w:rPr>
        <w:t>臺</w:t>
      </w:r>
      <w:r w:rsidRPr="00AD2471">
        <w:rPr>
          <w:rFonts w:eastAsia="標楷體" w:hint="eastAsia"/>
          <w:sz w:val="26"/>
        </w:rPr>
        <w:t>的融資，因而形成造成地方政府的債務，而因地方融資平</w:t>
      </w:r>
      <w:r>
        <w:rPr>
          <w:rFonts w:eastAsia="標楷體" w:hint="eastAsia"/>
          <w:sz w:val="26"/>
        </w:rPr>
        <w:t>臺</w:t>
      </w:r>
      <w:r w:rsidRPr="00AD2471">
        <w:rPr>
          <w:rFonts w:eastAsia="標楷體" w:hint="eastAsia"/>
          <w:sz w:val="26"/>
        </w:rPr>
        <w:t>主要是以向銀行貸款為主要的融資管道，因此造成了銀行的風險，甚至有些理財商品亦是將資金投資城鎮化建設，使得金融風險環環相扣，中國大陸近年來的城鎮化發展亦可能加深金融風險的程度。</w:t>
      </w:r>
    </w:p>
    <w:p w:rsidR="00D955B5" w:rsidRPr="008208DA" w:rsidRDefault="00D955B5" w:rsidP="00D955B5">
      <w:pPr>
        <w:numPr>
          <w:ilvl w:val="0"/>
          <w:numId w:val="24"/>
        </w:numPr>
        <w:spacing w:beforeLines="30" w:before="108" w:afterLines="30" w:after="108" w:line="520" w:lineRule="exact"/>
        <w:jc w:val="both"/>
        <w:rPr>
          <w:rFonts w:eastAsia="標楷體"/>
          <w:sz w:val="26"/>
        </w:rPr>
      </w:pPr>
      <w:r w:rsidRPr="00AD2471">
        <w:rPr>
          <w:rFonts w:eastAsia="標楷體" w:hint="eastAsia"/>
          <w:sz w:val="26"/>
        </w:rPr>
        <w:t>未來城鎮化模式：城市群的概念是非常重要且有道理的發展模式，此一概念也被新型城鎮化規劃所採用。城市群既考慮規模效果，也有其在文化、飲食方面的脈絡。區域城市體系或城市群的建設，要堅持大中小城市、鎮和農村的協調發展。新型城市化有兩個重要且有效的操作模式：一是</w:t>
      </w:r>
      <w:r>
        <w:rPr>
          <w:rFonts w:eastAsia="標楷體" w:hint="eastAsia"/>
          <w:sz w:val="26"/>
        </w:rPr>
        <w:t>「</w:t>
      </w:r>
      <w:r w:rsidRPr="00AD2471">
        <w:rPr>
          <w:rFonts w:eastAsia="標楷體" w:hint="eastAsia"/>
          <w:sz w:val="26"/>
        </w:rPr>
        <w:t>區域經濟</w:t>
      </w:r>
      <w:r w:rsidRPr="00AD2471">
        <w:rPr>
          <w:rFonts w:eastAsia="標楷體" w:hint="eastAsia"/>
          <w:sz w:val="26"/>
        </w:rPr>
        <w:t>+</w:t>
      </w:r>
      <w:r w:rsidRPr="00AD2471">
        <w:rPr>
          <w:rFonts w:eastAsia="標楷體" w:hint="eastAsia"/>
          <w:sz w:val="26"/>
        </w:rPr>
        <w:t>中心城市</w:t>
      </w:r>
      <w:r>
        <w:rPr>
          <w:rFonts w:eastAsia="標楷體" w:hint="eastAsia"/>
          <w:sz w:val="26"/>
        </w:rPr>
        <w:t>」</w:t>
      </w:r>
      <w:r w:rsidRPr="00AD2471">
        <w:rPr>
          <w:rFonts w:eastAsia="標楷體" w:hint="eastAsia"/>
          <w:sz w:val="26"/>
        </w:rPr>
        <w:t>模式，城市化與產業升級密切地結合起來，向城市群和主要的經濟區域集中，以區域經濟和中心城市為平臺，提升和擴展城市功能；二是</w:t>
      </w:r>
      <w:r>
        <w:rPr>
          <w:rFonts w:eastAsia="標楷體" w:hint="eastAsia"/>
          <w:sz w:val="26"/>
        </w:rPr>
        <w:t>「</w:t>
      </w:r>
      <w:r w:rsidRPr="00AD2471">
        <w:rPr>
          <w:rFonts w:eastAsia="標楷體" w:hint="eastAsia"/>
          <w:sz w:val="26"/>
        </w:rPr>
        <w:t>現代農場</w:t>
      </w:r>
      <w:r w:rsidRPr="00AD2471">
        <w:rPr>
          <w:rFonts w:eastAsia="標楷體" w:hint="eastAsia"/>
          <w:sz w:val="26"/>
        </w:rPr>
        <w:t>+</w:t>
      </w:r>
      <w:r w:rsidRPr="00AD2471">
        <w:rPr>
          <w:rFonts w:eastAsia="標楷體" w:hint="eastAsia"/>
          <w:sz w:val="26"/>
        </w:rPr>
        <w:t>特色小鎮</w:t>
      </w:r>
      <w:r>
        <w:rPr>
          <w:rFonts w:eastAsia="標楷體" w:hint="eastAsia"/>
          <w:sz w:val="26"/>
        </w:rPr>
        <w:t>」</w:t>
      </w:r>
      <w:r w:rsidRPr="00AD2471">
        <w:rPr>
          <w:rFonts w:eastAsia="標楷體" w:hint="eastAsia"/>
          <w:sz w:val="26"/>
        </w:rPr>
        <w:t>模式，以新型城市化帶動農業現代化，建設現代農場和特色小鎮，實現農村居民身份和農業生產方式的雙重轉變。</w:t>
      </w:r>
    </w:p>
    <w:p w:rsidR="00306989" w:rsidRPr="0045395C" w:rsidRDefault="00306989" w:rsidP="00306989">
      <w:pPr>
        <w:pStyle w:val="-"/>
        <w:numPr>
          <w:ilvl w:val="0"/>
          <w:numId w:val="24"/>
        </w:numPr>
        <w:spacing w:before="108" w:after="108"/>
        <w:ind w:firstLineChars="0"/>
        <w:rPr>
          <w:bCs/>
        </w:rPr>
        <w:sectPr w:rsidR="00306989" w:rsidRPr="0045395C" w:rsidSect="00510EC9">
          <w:footerReference w:type="default" r:id="rId43"/>
          <w:type w:val="oddPage"/>
          <w:pgSz w:w="11906" w:h="16838"/>
          <w:pgMar w:top="1440" w:right="1800" w:bottom="1440" w:left="1800" w:header="851" w:footer="992" w:gutter="0"/>
          <w:cols w:space="425"/>
          <w:docGrid w:type="lines" w:linePitch="360"/>
        </w:sectPr>
      </w:pPr>
    </w:p>
    <w:p w:rsidR="00D955B5" w:rsidRPr="009522C7" w:rsidRDefault="00D955B5" w:rsidP="00D955B5">
      <w:pPr>
        <w:pStyle w:val="1"/>
        <w:keepNext w:val="0"/>
        <w:pageBreakBefore/>
      </w:pPr>
      <w:bookmarkStart w:id="89" w:name="_Toc405462607"/>
      <w:r w:rsidRPr="0060742B">
        <w:rPr>
          <w:rFonts w:hint="eastAsia"/>
          <w:bCs w:val="0"/>
        </w:rPr>
        <w:lastRenderedPageBreak/>
        <w:t>附錄</w:t>
      </w:r>
      <w:r w:rsidR="00796180">
        <w:rPr>
          <w:noProof/>
          <w:sz w:val="20"/>
          <w:lang w:val="en-US" w:eastAsia="zh-TW"/>
        </w:rPr>
        <mc:AlternateContent>
          <mc:Choice Requires="wpg">
            <w:drawing>
              <wp:anchor distT="0" distB="0" distL="114300" distR="114300" simplePos="0" relativeHeight="8" behindDoc="0" locked="1" layoutInCell="1" allowOverlap="1">
                <wp:simplePos x="0" y="0"/>
                <wp:positionH relativeFrom="column">
                  <wp:posOffset>-571500</wp:posOffset>
                </wp:positionH>
                <wp:positionV relativeFrom="paragraph">
                  <wp:posOffset>-13970</wp:posOffset>
                </wp:positionV>
                <wp:extent cx="161925" cy="8893175"/>
                <wp:effectExtent l="0" t="14605" r="0" b="7620"/>
                <wp:wrapTopAndBottom/>
                <wp:docPr id="24" name="裝訂線"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25" name="Text Box 390" hidden="1"/>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F5D55" w:rsidRDefault="005F5D55" w:rsidP="00D955B5">
                              <w:pPr>
                                <w:pStyle w:val="ab"/>
                                <w:tabs>
                                  <w:tab w:val="left" w:pos="480"/>
                                </w:tabs>
                                <w:snapToGrid/>
                                <w:spacing w:before="108" w:after="108"/>
                                <w:ind w:left="760" w:firstLine="520"/>
                              </w:pPr>
                            </w:p>
                          </w:txbxContent>
                        </wps:txbx>
                        <wps:bodyPr rot="0" vert="horz" wrap="square" lIns="0" tIns="0" rIns="0" bIns="0" anchor="t" anchorCtr="0" upright="1">
                          <a:noAutofit/>
                        </wps:bodyPr>
                      </wps:wsp>
                      <wps:wsp>
                        <wps:cNvPr id="26" name="Line 391" hidden="1"/>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Line 392" hidden="1"/>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393" hidden="1"/>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Line 394" hidden="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 name="Text Box 395" hidden="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F5D55" w:rsidRDefault="005F5D55" w:rsidP="00D955B5">
                              <w:pPr>
                                <w:pStyle w:val="ab"/>
                                <w:tabs>
                                  <w:tab w:val="left" w:pos="480"/>
                                </w:tabs>
                                <w:snapToGrid/>
                                <w:spacing w:before="108" w:after="108"/>
                                <w:ind w:left="760" w:firstLine="520"/>
                              </w:pPr>
                            </w:p>
                          </w:txbxContent>
                        </wps:txbx>
                        <wps:bodyPr rot="0" vert="horz" wrap="square" lIns="0" tIns="0" rIns="0" bIns="0" anchor="t" anchorCtr="0" upright="1">
                          <a:noAutofit/>
                        </wps:bodyPr>
                      </wps:wsp>
                      <wps:wsp>
                        <wps:cNvPr id="31" name="Text Box 396" hidden="1"/>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F5D55" w:rsidRDefault="005F5D55" w:rsidP="00D955B5">
                              <w:pPr>
                                <w:pStyle w:val="ab"/>
                                <w:tabs>
                                  <w:tab w:val="left" w:pos="480"/>
                                </w:tabs>
                                <w:snapToGrid/>
                                <w:spacing w:before="108" w:after="108"/>
                                <w:ind w:left="760" w:firstLine="52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裝訂線" o:spid="_x0000_s1069" style="position:absolute;left:0;text-align:left;margin-left:-45pt;margin-top:-1.1pt;width:12.75pt;height:700.25pt;z-index:8;visibility:hidden;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">
                <v:shapetype id="_x0000_t202" coordsize="21600,21600" o:spt="202" path="m,l,21600r21600,l21600,xe">
                  <v:stroke joinstyle="miter"/>
                  <v:path gradientshapeok="t" o:connecttype="rect"/>
                </v:shapetype>
                <v:shape id="Text Box 390" o:spid="_x0000_s1070" type="#_x0000_t202" style="position:absolute;left:788;top:5468;width:220;height:369;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msUA&#10;AADbAAAADwAAAGRycy9kb3ducmV2LnhtbESPQWvCQBSE74X+h+UJXkqzaWylxqxSREEQhKq9v2af&#10;SUj2bZpdY/z33YLQ4zAz3zDZcjCN6KlzlWUFL1EMgji3uuJCwem4eX4H4TyyxsYyKbiRg+Xi8SHD&#10;VNsrf1J/8IUIEHYpKii9b1MpXV6SQRfZljh4Z9sZ9EF2hdQdXgPcNDKJ46k0WHFYKLGlVUl5fbgY&#10;BfSd6P36Z7bZfT3td/J1dZL1JFZqPBo+5iA8Df4/fG9vtYLkDf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axQAAANsAAAAPAAAAAAAAAAAAAAAAAJgCAABkcnMv&#10;ZG93bnJldi54bWxQSwUGAAAAAAQABAD1AAAAigMAAAAA&#10;" filled="f" stroked="f" strokeweight="1pt">
                  <v:textbox inset="0,0,0,0">
                    <w:txbxContent>
                      <w:p w:rsidR="005F5D55" w:rsidRDefault="005F5D55" w:rsidP="00D955B5">
                        <w:pPr>
                          <w:pStyle w:val="ab"/>
                          <w:tabs>
                            <w:tab w:val="left" w:pos="480"/>
                          </w:tabs>
                          <w:snapToGrid/>
                          <w:spacing w:before="108" w:after="108"/>
                          <w:ind w:left="760" w:firstLine="520"/>
                        </w:pPr>
                      </w:p>
                    </w:txbxContent>
                  </v:textbox>
                </v:shape>
                <v:line id="Line 391" o:spid="_x0000_s1071" style="position:absolute;visibility:hidden;mso-wrap-style:squar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mVsMAAADbAAAADwAAAGRycy9kb3ducmV2LnhtbESPT4vCMBTE74LfITxhb5rqQaQaRYSy&#10;KwiLfxB6ezRv27LNS0li2/32G0HwOMzMb5jNbjCN6Mj52rKC+SwBQVxYXXOp4HbNpisQPiBrbCyT&#10;gj/ysNuORxtMte35TN0llCJC2KeooAqhTaX0RUUG/cy2xNH7sc5giNKVUjvsI9w0cpEkS2mw5rhQ&#10;YUuHiorfy8Mo0Nmnc91qOOQuu/anx/exze+5Uh+TYb8GEWgI7/Cr/aUVLJbw/BJ/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F5lbDAAAA2wAAAA8AAAAAAAAAAAAA&#10;AAAAoQIAAGRycy9kb3ducmV2LnhtbFBLBQYAAAAABAAEAPkAAACRAwAAAAA=&#10;" strokeweight="1pt">
                  <v:stroke dashstyle="1 1" endcap="round"/>
                </v:line>
                <v:line id="Line 392" o:spid="_x0000_s1072" style="position:absolute;visibility:hidden;mso-wrap-style:squar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DzcQAAADbAAAADwAAAGRycy9kb3ducmV2LnhtbESPwWrDMBBE74X+g9hCb43cHNrgRDYl&#10;YJJCoSQOAd8Wa2ObWCsjKbb791WhkOMwM2+YTT6bXozkfGdZwesiAUFcW91xo+BUFi8rED4ga+wt&#10;k4If8pBnjw8bTLWd+EDjMTQiQtinqKANYUil9HVLBv3CDsTRu1hnMETpGqkdThFuerlMkjdpsOO4&#10;0OJA25bq6/FmFOhi59y4mreVK8rp6/b9OVTnSqnnp/ljDSLQHO7h//ZeK1i+w9+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CUPNxAAAANsAAAAPAAAAAAAAAAAA&#10;AAAAAKECAABkcnMvZG93bnJldi54bWxQSwUGAAAAAAQABAD5AAAAkgMAAAAA&#10;" strokeweight="1pt">
                  <v:stroke dashstyle="1 1" endcap="round"/>
                </v:line>
                <v:line id="Line 393" o:spid="_x0000_s1073" style="position:absolute;visibility:hidden;mso-wrap-style:squar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Xv8AAAADbAAAADwAAAGRycy9kb3ducmV2LnhtbERPy4rCMBTdC/MP4Q7Mzqa6GKRjFBHK&#10;jCCIDwa6uzTXttjclCS29e/NQnB5OO/lejSt6Mn5xrKCWZKCIC6tbrhScDnn0wUIH5A1tpZJwYM8&#10;rFcfkyVm2g58pP4UKhFD2GeooA6hy6T0ZU0GfWI74shdrTMYInSV1A6HGG5aOU/Tb2mw4dhQY0fb&#10;msrb6W4U6PzXuX4xbguXn4f9/bDriv9Cqa/PcfMDItAY3uKX+08rmMex8Uv8A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W17/AAAAA2wAAAA8AAAAAAAAAAAAAAAAA&#10;oQIAAGRycy9kb3ducmV2LnhtbFBLBQYAAAAABAAEAPkAAACOAwAAAAA=&#10;" strokeweight="1pt">
                  <v:stroke dashstyle="1 1" endcap="round"/>
                </v:line>
                <v:line id="Line 394" o:spid="_x0000_s1074" style="position:absolute;flip:x;visibility:hidden;mso-wrap-style:squar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3/8AAAADbAAAADwAAAGRycy9kb3ducmV2LnhtbERPTWuDQBC9F/oflin01qx6CKnNKkkg&#10;UBBSasx9cKcqurPibqPNr+8GCj2+b942X8wgrjS5zrKCeBWBIK6t7rhRUJ2PLxsQziNrHCyTgh9y&#10;kGePD1tMtZ35k66lb0QoYZeigtb7MZXS1S0ZdCs7Egfty04GfYBTI/WEcyg3g0yiaC0NdhwWWhzp&#10;0FLdl99GwbqY+484uuz7G1WVDXzRn2qlnp+W3RsIT4v/N/+l37WC5BXuX8IPkN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0Xd//AAAAA2wAAAA8AAAAAAAAAAAAAAAAA&#10;oQIAAGRycy9kb3ducmV2LnhtbFBLBQYAAAAABAAEAPkAAACOAwAAAAA=&#10;" strokeweight="1pt">
                  <v:stroke dashstyle="1 1" endcap="round"/>
                </v:line>
                <v:shape id="Text Box 395" o:spid="_x0000_s1075" type="#_x0000_t202" style="position:absolute;left:781;top:8183;width:220;height:369;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a38EA&#10;AADbAAAADwAAAGRycy9kb3ducmV2LnhtbERPTYvCMBC9C/sfwix4EZuuiqzdRllEQRAEu3ofm9m2&#10;2ExqE7X+e3MQPD7ed7roTC1u1LrKsoKvKAZBnFtdcaHg8LcefoNwHlljbZkUPMjBYv7RSzHR9s57&#10;umW+ECGEXYIKSu+bREqXl2TQRbYhDty/bQ36ANtC6hbvIdzUchTHU2mw4tBQYkPLkvJzdjUK6DTS&#10;u9Vltt4eB7utnCwP8jyOlep/dr8/IDx1/i1+uTdawTisD1/C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h2t/BAAAA2wAAAA8AAAAAAAAAAAAAAAAAmAIAAGRycy9kb3du&#10;cmV2LnhtbFBLBQYAAAAABAAEAPUAAACGAwAAAAA=&#10;" filled="f" stroked="f" strokeweight="1pt">
                  <v:textbox inset="0,0,0,0">
                    <w:txbxContent>
                      <w:p w:rsidR="005F5D55" w:rsidRDefault="005F5D55" w:rsidP="00D955B5">
                        <w:pPr>
                          <w:pStyle w:val="ab"/>
                          <w:tabs>
                            <w:tab w:val="left" w:pos="480"/>
                          </w:tabs>
                          <w:snapToGrid/>
                          <w:spacing w:before="108" w:after="108"/>
                          <w:ind w:left="760" w:firstLine="520"/>
                        </w:pPr>
                      </w:p>
                    </w:txbxContent>
                  </v:textbox>
                </v:shape>
                <v:shape id="Text Box 396" o:spid="_x0000_s1076" type="#_x0000_t202" style="position:absolute;left:816;top:10898;width:220;height:369;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RMQA&#10;AADbAAAADwAAAGRycy9kb3ducmV2LnhtbESP3WrCQBSE74W+w3IK3hTd9Yei0VWKGCgIQqPeH7PH&#10;JJg9m2a3mr59Vyh4OczMN8xy3dla3Kj1lWMNo6ECQZw7U3Gh4XhIBzMQPiAbrB2Thl/ysF699JaY&#10;GHfnL7ploRARwj5BDWUITSKlz0uy6IeuIY7exbUWQ5RtIU2L9wi3tRwr9S4tVhwXSmxoU1J+zX6s&#10;BjqPzX77PU93p7f9Tk43R3mdKK37r93HAkSgLjzD/+1Po2Eygse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f0TEAAAA2wAAAA8AAAAAAAAAAAAAAAAAmAIAAGRycy9k&#10;b3ducmV2LnhtbFBLBQYAAAAABAAEAPUAAACJAwAAAAA=&#10;" filled="f" stroked="f" strokeweight="1pt">
                  <v:textbox inset="0,0,0,0">
                    <w:txbxContent>
                      <w:p w:rsidR="005F5D55" w:rsidRDefault="005F5D55" w:rsidP="00D955B5">
                        <w:pPr>
                          <w:pStyle w:val="ab"/>
                          <w:tabs>
                            <w:tab w:val="left" w:pos="480"/>
                          </w:tabs>
                          <w:snapToGrid/>
                          <w:spacing w:before="108" w:after="108"/>
                          <w:ind w:left="760" w:firstLine="520"/>
                        </w:pPr>
                      </w:p>
                    </w:txbxContent>
                  </v:textbox>
                </v:shape>
                <w10:wrap type="topAndBottom"/>
                <w10:anchorlock/>
              </v:group>
            </w:pict>
          </mc:Fallback>
        </mc:AlternateContent>
      </w:r>
      <w:r w:rsidR="00796180">
        <w:rPr>
          <w:noProof/>
          <w:sz w:val="20"/>
          <w:lang w:val="en-US" w:eastAsia="zh-TW"/>
        </w:rPr>
        <mc:AlternateContent>
          <mc:Choice Requires="wps">
            <w:drawing>
              <wp:anchor distT="0" distB="0" distL="114300" distR="114300" simplePos="0" relativeHeight="7" behindDoc="0" locked="1" layoutInCell="1" allowOverlap="1">
                <wp:simplePos x="0" y="0"/>
                <wp:positionH relativeFrom="page">
                  <wp:posOffset>3649980</wp:posOffset>
                </wp:positionH>
                <wp:positionV relativeFrom="paragraph">
                  <wp:posOffset>-467360</wp:posOffset>
                </wp:positionV>
                <wp:extent cx="1440180" cy="360045"/>
                <wp:effectExtent l="11430" t="8890" r="5715" b="12065"/>
                <wp:wrapNone/>
                <wp:docPr id="23"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5F5D55" w:rsidRDefault="005F5D55" w:rsidP="00D955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首長大名" o:spid="_x0000_s1077" type="#_x0000_t202" style="position:absolute;left:0;text-align:left;margin-left:287.4pt;margin-top:-36.8pt;width:113.4pt;height:28.35pt;z-index:7;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">
                <v:textbox>
                  <w:txbxContent>
                    <w:p w:rsidR="005F5D55" w:rsidRDefault="005F5D55" w:rsidP="00D955B5"/>
                  </w:txbxContent>
                </v:textbox>
                <w10:wrap anchorx="page"/>
                <w10:anchorlock/>
              </v:shape>
            </w:pict>
          </mc:Fallback>
        </mc:AlternateContent>
      </w:r>
      <w:r w:rsidR="00796180">
        <w:rPr>
          <w:noProof/>
          <w:sz w:val="20"/>
          <w:lang w:val="en-US" w:eastAsia="zh-TW"/>
        </w:rPr>
        <mc:AlternateContent>
          <mc:Choice Requires="wps">
            <w:drawing>
              <wp:anchor distT="0" distB="0" distL="114300" distR="114300" simplePos="0" relativeHeight="6" behindDoc="0" locked="1" layoutInCell="1" allowOverlap="1">
                <wp:simplePos x="0" y="0"/>
                <wp:positionH relativeFrom="page">
                  <wp:posOffset>2205990</wp:posOffset>
                </wp:positionH>
                <wp:positionV relativeFrom="paragraph">
                  <wp:posOffset>-469265</wp:posOffset>
                </wp:positionV>
                <wp:extent cx="1440180" cy="360045"/>
                <wp:effectExtent l="5715" t="6985" r="11430" b="13970"/>
                <wp:wrapNone/>
                <wp:docPr id="1"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5F5D55" w:rsidRDefault="005F5D55" w:rsidP="00D955B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別" o:spid="_x0000_s1078" type="#_x0000_t202" style="position:absolute;left:0;text-align:left;margin-left:173.7pt;margin-top:-36.95pt;width:113.4pt;height:28.35pt;z-index: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">
                <v:textbox>
                  <w:txbxContent>
                    <w:p w:rsidR="005F5D55" w:rsidRDefault="005F5D55" w:rsidP="00D955B5">
                      <w:pPr>
                        <w:rPr>
                          <w:sz w:val="20"/>
                        </w:rPr>
                      </w:pPr>
                    </w:p>
                  </w:txbxContent>
                </v:textbox>
                <w10:wrap anchorx="page"/>
                <w10:anchorlock/>
              </v:shape>
            </w:pict>
          </mc:Fallback>
        </mc:AlternateContent>
      </w:r>
      <w:r>
        <w:rPr>
          <w:rFonts w:hint="eastAsia"/>
          <w:bCs w:val="0"/>
        </w:rPr>
        <w:t>三</w:t>
      </w:r>
      <w:r w:rsidR="004163FA">
        <w:rPr>
          <w:rFonts w:hint="eastAsia"/>
          <w:bCs w:val="0"/>
        </w:rPr>
        <w:t xml:space="preserve">　期</w:t>
      </w:r>
      <w:r w:rsidR="004163FA">
        <w:rPr>
          <w:rFonts w:hint="eastAsia"/>
          <w:bCs w:val="0"/>
          <w:lang w:eastAsia="zh-TW"/>
        </w:rPr>
        <w:t>末</w:t>
      </w:r>
      <w:r w:rsidRPr="0060742B">
        <w:rPr>
          <w:rFonts w:hint="eastAsia"/>
          <w:bCs w:val="0"/>
        </w:rPr>
        <w:t>審查意見及辦理情形</w:t>
      </w:r>
      <w:bookmarkEnd w:id="89"/>
    </w:p>
    <w:p w:rsidR="00D955B5" w:rsidRDefault="00D955B5" w:rsidP="00D955B5">
      <w:pPr>
        <w:spacing w:line="440" w:lineRule="exact"/>
        <w:ind w:rightChars="-101" w:right="-242"/>
        <w:rPr>
          <w:rFonts w:eastAsia="標楷體"/>
        </w:rPr>
      </w:pPr>
      <w:r>
        <w:rPr>
          <w:rFonts w:eastAsia="標楷體" w:hint="eastAsia"/>
        </w:rPr>
        <w:t>計畫名稱：中國大陸當前經濟政策對我經濟之機會與挑戰</w:t>
      </w:r>
      <w:r>
        <w:rPr>
          <w:rFonts w:eastAsia="標楷體"/>
        </w:rPr>
        <w:br/>
      </w:r>
      <w:r>
        <w:rPr>
          <w:rFonts w:eastAsia="標楷體" w:hint="eastAsia"/>
        </w:rPr>
        <w:t>執行單位：中華經濟研究院</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394"/>
      </w:tblGrid>
      <w:tr w:rsidR="004163FA" w:rsidRPr="00192748" w:rsidTr="00B014B3">
        <w:tc>
          <w:tcPr>
            <w:tcW w:w="4361" w:type="dxa"/>
          </w:tcPr>
          <w:p w:rsidR="004163FA" w:rsidRPr="003F06B2" w:rsidRDefault="004163FA" w:rsidP="00B014B3">
            <w:pPr>
              <w:snapToGrid w:val="0"/>
              <w:jc w:val="center"/>
              <w:rPr>
                <w:rFonts w:eastAsia="標楷體"/>
                <w:b/>
              </w:rPr>
            </w:pPr>
            <w:r w:rsidRPr="003F06B2">
              <w:rPr>
                <w:rFonts w:eastAsia="標楷體"/>
                <w:b/>
              </w:rPr>
              <w:t>審查意見</w:t>
            </w:r>
          </w:p>
        </w:tc>
        <w:tc>
          <w:tcPr>
            <w:tcW w:w="4394" w:type="dxa"/>
          </w:tcPr>
          <w:p w:rsidR="004163FA" w:rsidRPr="003F06B2" w:rsidRDefault="004163FA" w:rsidP="00B014B3">
            <w:pPr>
              <w:snapToGrid w:val="0"/>
              <w:jc w:val="center"/>
              <w:rPr>
                <w:rFonts w:eastAsia="標楷體"/>
                <w:b/>
              </w:rPr>
            </w:pPr>
            <w:r w:rsidRPr="003F06B2">
              <w:rPr>
                <w:rFonts w:eastAsia="標楷體"/>
                <w:b/>
              </w:rPr>
              <w:t>辨理情形</w:t>
            </w:r>
          </w:p>
        </w:tc>
      </w:tr>
      <w:tr w:rsidR="004163FA" w:rsidRPr="00192748" w:rsidTr="00B014B3">
        <w:tc>
          <w:tcPr>
            <w:tcW w:w="8755" w:type="dxa"/>
            <w:gridSpan w:val="2"/>
          </w:tcPr>
          <w:p w:rsidR="004163FA" w:rsidRPr="003F06B2" w:rsidRDefault="004163FA" w:rsidP="00B014B3">
            <w:pPr>
              <w:snapToGrid w:val="0"/>
              <w:rPr>
                <w:rFonts w:eastAsia="標楷體"/>
              </w:rPr>
            </w:pPr>
            <w:r w:rsidRPr="003F06B2">
              <w:rPr>
                <w:rFonts w:eastAsia="標楷體" w:hint="eastAsia"/>
              </w:rPr>
              <w:t>（一）</w:t>
            </w:r>
            <w:r>
              <w:rPr>
                <w:rFonts w:eastAsia="標楷體" w:hint="eastAsia"/>
              </w:rPr>
              <w:t>徐</w:t>
            </w:r>
            <w:r>
              <w:rPr>
                <w:rFonts w:ascii="標楷體" w:eastAsia="標楷體" w:hAnsi="標楷體" w:hint="eastAsia"/>
              </w:rPr>
              <w:t>○○</w:t>
            </w:r>
            <w:r w:rsidRPr="003F06B2">
              <w:rPr>
                <w:rFonts w:eastAsia="標楷體" w:hint="eastAsia"/>
              </w:rPr>
              <w:t>委員</w:t>
            </w:r>
          </w:p>
        </w:tc>
      </w:tr>
      <w:tr w:rsidR="004163FA" w:rsidRPr="00192748" w:rsidTr="00B014B3">
        <w:tc>
          <w:tcPr>
            <w:tcW w:w="4361" w:type="dxa"/>
          </w:tcPr>
          <w:p w:rsidR="004163FA" w:rsidRPr="00924D69" w:rsidRDefault="004163FA" w:rsidP="00B014B3">
            <w:pPr>
              <w:tabs>
                <w:tab w:val="center" w:pos="2568"/>
              </w:tabs>
              <w:snapToGrid w:val="0"/>
              <w:ind w:left="264" w:hangingChars="110" w:hanging="264"/>
              <w:jc w:val="both"/>
              <w:rPr>
                <w:rFonts w:eastAsia="標楷體"/>
              </w:rPr>
            </w:pPr>
            <w:r>
              <w:rPr>
                <w:rFonts w:eastAsia="標楷體" w:hint="eastAsia"/>
              </w:rPr>
              <w:t xml:space="preserve">1. </w:t>
            </w:r>
            <w:r w:rsidRPr="00BF7800">
              <w:rPr>
                <w:rFonts w:eastAsia="標楷體" w:hint="eastAsia"/>
              </w:rPr>
              <w:t>建議可由資源取得與市場商機面向，補強本年</w:t>
            </w:r>
            <w:r w:rsidRPr="00BF7800">
              <w:rPr>
                <w:rFonts w:eastAsia="標楷體" w:hint="eastAsia"/>
              </w:rPr>
              <w:t>APEC</w:t>
            </w:r>
            <w:r w:rsidRPr="00BF7800">
              <w:rPr>
                <w:rFonts w:eastAsia="標楷體" w:hint="eastAsia"/>
              </w:rPr>
              <w:t>會後中國大陸整體對外經貿戰略規劃。</w:t>
            </w:r>
          </w:p>
        </w:tc>
        <w:tc>
          <w:tcPr>
            <w:tcW w:w="4394" w:type="dxa"/>
          </w:tcPr>
          <w:p w:rsidR="004163FA" w:rsidRPr="007A3F2C" w:rsidRDefault="004163FA" w:rsidP="00B014B3">
            <w:pPr>
              <w:snapToGrid w:val="0"/>
              <w:jc w:val="both"/>
              <w:rPr>
                <w:rFonts w:eastAsia="標楷體"/>
              </w:rPr>
            </w:pPr>
            <w:r>
              <w:rPr>
                <w:rFonts w:eastAsia="標楷體" w:hint="eastAsia"/>
              </w:rPr>
              <w:t>已於第四章、第六章與本年</w:t>
            </w:r>
            <w:r>
              <w:rPr>
                <w:rFonts w:eastAsia="標楷體" w:hint="eastAsia"/>
              </w:rPr>
              <w:t>APEC</w:t>
            </w:r>
            <w:r>
              <w:rPr>
                <w:rFonts w:eastAsia="標楷體" w:hint="eastAsia"/>
              </w:rPr>
              <w:t>相關議題處增加新的訊息。</w:t>
            </w:r>
          </w:p>
        </w:tc>
      </w:tr>
      <w:tr w:rsidR="004163FA" w:rsidRPr="00192748" w:rsidTr="00B014B3">
        <w:tc>
          <w:tcPr>
            <w:tcW w:w="4361" w:type="dxa"/>
          </w:tcPr>
          <w:p w:rsidR="004163FA" w:rsidRPr="00C46099" w:rsidRDefault="004163FA" w:rsidP="00B014B3">
            <w:pPr>
              <w:tabs>
                <w:tab w:val="center" w:pos="2568"/>
              </w:tabs>
              <w:snapToGrid w:val="0"/>
              <w:ind w:left="264" w:hangingChars="110" w:hanging="264"/>
              <w:jc w:val="both"/>
              <w:rPr>
                <w:rFonts w:eastAsia="標楷體"/>
              </w:rPr>
            </w:pPr>
            <w:r w:rsidRPr="00BF7800">
              <w:rPr>
                <w:rFonts w:eastAsia="標楷體" w:hint="eastAsia"/>
              </w:rPr>
              <w:t>2.</w:t>
            </w:r>
            <w:r w:rsidRPr="00BF7800">
              <w:rPr>
                <w:rFonts w:eastAsia="標楷體" w:hint="eastAsia"/>
              </w:rPr>
              <w:tab/>
            </w:r>
            <w:r w:rsidRPr="00BF7800">
              <w:rPr>
                <w:rFonts w:eastAsia="標楷體" w:hint="eastAsia"/>
              </w:rPr>
              <w:t>中國大陸習李體制有關經濟與區域布局，顯示中國大陸經貿戰略之思維和企圖心，特別是有關「以區域發展帶動國家發展」轉向「國家發展策略區域化」之結論。研究觀察其重心置於大江大河區域，但中國大陸之區域發展策略有其延續性，主要是以大西部發展為重心，建議補強其區域發展政策之遞嬗。</w:t>
            </w:r>
          </w:p>
        </w:tc>
        <w:tc>
          <w:tcPr>
            <w:tcW w:w="4394" w:type="dxa"/>
          </w:tcPr>
          <w:p w:rsidR="004163FA" w:rsidRPr="007A3F2C" w:rsidRDefault="004163FA" w:rsidP="00B014B3">
            <w:pPr>
              <w:snapToGrid w:val="0"/>
              <w:jc w:val="both"/>
              <w:rPr>
                <w:rFonts w:eastAsia="標楷體"/>
              </w:rPr>
            </w:pPr>
            <w:r w:rsidRPr="007A3F2C">
              <w:rPr>
                <w:rFonts w:eastAsia="標楷體" w:hint="eastAsia"/>
              </w:rPr>
              <w:t>已於</w:t>
            </w:r>
            <w:r>
              <w:rPr>
                <w:rFonts w:eastAsia="標楷體" w:hint="eastAsia"/>
              </w:rPr>
              <w:t>第二章小結略述中國大陸區域政策發展之脈絡遞嬗。</w:t>
            </w:r>
          </w:p>
        </w:tc>
      </w:tr>
      <w:tr w:rsidR="004163FA" w:rsidRPr="00192748" w:rsidTr="00B014B3">
        <w:tc>
          <w:tcPr>
            <w:tcW w:w="4361" w:type="dxa"/>
          </w:tcPr>
          <w:p w:rsidR="004163FA" w:rsidRPr="00C46099" w:rsidRDefault="004163FA" w:rsidP="00B014B3">
            <w:pPr>
              <w:tabs>
                <w:tab w:val="center" w:pos="2568"/>
              </w:tabs>
              <w:snapToGrid w:val="0"/>
              <w:ind w:left="264" w:hangingChars="110" w:hanging="264"/>
              <w:jc w:val="both"/>
              <w:rPr>
                <w:rFonts w:eastAsia="標楷體"/>
              </w:rPr>
            </w:pPr>
            <w:r w:rsidRPr="00BF7800">
              <w:rPr>
                <w:rFonts w:eastAsia="標楷體" w:hint="eastAsia"/>
              </w:rPr>
              <w:t>3.</w:t>
            </w:r>
            <w:r w:rsidRPr="00BF7800">
              <w:rPr>
                <w:rFonts w:eastAsia="標楷體" w:hint="eastAsia"/>
              </w:rPr>
              <w:tab/>
            </w:r>
            <w:r w:rsidRPr="00BF7800">
              <w:rPr>
                <w:rFonts w:eastAsia="標楷體" w:hint="eastAsia"/>
              </w:rPr>
              <w:t>關於中國大陸大國崛起之對外戰略分析中肯，惟「中國大陸對臺灣加入</w:t>
            </w:r>
            <w:r w:rsidRPr="00BF7800">
              <w:rPr>
                <w:rFonts w:eastAsia="標楷體" w:hint="eastAsia"/>
              </w:rPr>
              <w:t>TPP</w:t>
            </w:r>
            <w:r w:rsidRPr="00BF7800">
              <w:rPr>
                <w:rFonts w:eastAsia="標楷體" w:hint="eastAsia"/>
              </w:rPr>
              <w:t>與</w:t>
            </w:r>
            <w:r w:rsidRPr="00BF7800">
              <w:rPr>
                <w:rFonts w:eastAsia="標楷體" w:hint="eastAsia"/>
              </w:rPr>
              <w:t>RCEP</w:t>
            </w:r>
            <w:r w:rsidRPr="00BF7800">
              <w:rPr>
                <w:rFonts w:eastAsia="標楷體" w:hint="eastAsia"/>
              </w:rPr>
              <w:t>看法」之結論過於樂觀，建議調整其論述。特別是</w:t>
            </w:r>
            <w:r w:rsidRPr="00BF7800">
              <w:rPr>
                <w:rFonts w:eastAsia="標楷體" w:hint="eastAsia"/>
              </w:rPr>
              <w:t>318</w:t>
            </w:r>
            <w:r w:rsidRPr="00BF7800">
              <w:rPr>
                <w:rFonts w:eastAsia="標楷體" w:hint="eastAsia"/>
              </w:rPr>
              <w:t>學運後，各種國際情勢變化，中國大陸對臺政策有所微調，臺灣重要性相對降低，兩岸協商優先性往後調，此部分可稍加著墨。</w:t>
            </w:r>
          </w:p>
        </w:tc>
        <w:tc>
          <w:tcPr>
            <w:tcW w:w="4394" w:type="dxa"/>
          </w:tcPr>
          <w:p w:rsidR="004163FA" w:rsidRPr="007A3F2C" w:rsidRDefault="004163FA" w:rsidP="00B014B3">
            <w:pPr>
              <w:snapToGrid w:val="0"/>
              <w:jc w:val="both"/>
              <w:rPr>
                <w:rFonts w:eastAsia="標楷體"/>
              </w:rPr>
            </w:pPr>
            <w:r>
              <w:rPr>
                <w:rFonts w:eastAsia="標楷體" w:hint="eastAsia"/>
              </w:rPr>
              <w:t>已修正相關論述，並按照評審意見調整論述內容。</w:t>
            </w:r>
          </w:p>
        </w:tc>
      </w:tr>
      <w:tr w:rsidR="004163FA" w:rsidRPr="00E34957" w:rsidTr="00B014B3">
        <w:tc>
          <w:tcPr>
            <w:tcW w:w="4361" w:type="dxa"/>
          </w:tcPr>
          <w:p w:rsidR="004163FA" w:rsidRPr="00C46099" w:rsidRDefault="004163FA" w:rsidP="00B014B3">
            <w:pPr>
              <w:tabs>
                <w:tab w:val="center" w:pos="2568"/>
              </w:tabs>
              <w:snapToGrid w:val="0"/>
              <w:ind w:left="264" w:hangingChars="110" w:hanging="264"/>
              <w:jc w:val="both"/>
              <w:rPr>
                <w:rFonts w:eastAsia="標楷體"/>
              </w:rPr>
            </w:pPr>
            <w:r w:rsidRPr="00BF7800">
              <w:rPr>
                <w:rFonts w:eastAsia="標楷體" w:hint="eastAsia"/>
              </w:rPr>
              <w:t>4.</w:t>
            </w:r>
            <w:r w:rsidRPr="00BF7800">
              <w:rPr>
                <w:rFonts w:eastAsia="標楷體" w:hint="eastAsia"/>
              </w:rPr>
              <w:tab/>
            </w:r>
            <w:r w:rsidRPr="00BF7800">
              <w:rPr>
                <w:rFonts w:eastAsia="標楷體" w:hint="eastAsia"/>
              </w:rPr>
              <w:t>對臺灣參與國際組織，中國大陸立場大致還是堅持兩個原則，第一是中國大陸先臺灣後；第二是堅持一國兩制。建議增加</w:t>
            </w:r>
            <w:r w:rsidRPr="00BF7800">
              <w:rPr>
                <w:rFonts w:eastAsia="標楷體" w:hint="eastAsia"/>
              </w:rPr>
              <w:t>APEC</w:t>
            </w:r>
            <w:r w:rsidRPr="00BF7800">
              <w:rPr>
                <w:rFonts w:eastAsia="標楷體" w:hint="eastAsia"/>
              </w:rPr>
              <w:t>後對我之影響，以及臺灣利用兩岸平</w:t>
            </w:r>
            <w:r>
              <w:rPr>
                <w:rFonts w:eastAsia="標楷體" w:hint="eastAsia"/>
              </w:rPr>
              <w:t>臺</w:t>
            </w:r>
            <w:r w:rsidRPr="00BF7800">
              <w:rPr>
                <w:rFonts w:eastAsia="標楷體" w:hint="eastAsia"/>
              </w:rPr>
              <w:t>之論述。此外，中國大陸打韓國牌</w:t>
            </w:r>
            <w:r w:rsidRPr="00BF7800">
              <w:rPr>
                <w:rFonts w:eastAsia="標楷體" w:hint="eastAsia"/>
              </w:rPr>
              <w:t>(</w:t>
            </w:r>
            <w:r w:rsidRPr="00BF7800">
              <w:rPr>
                <w:rFonts w:eastAsia="標楷體" w:hint="eastAsia"/>
              </w:rPr>
              <w:t>例如「中」韓</w:t>
            </w:r>
            <w:r w:rsidRPr="00BF7800">
              <w:rPr>
                <w:rFonts w:eastAsia="標楷體" w:hint="eastAsia"/>
              </w:rPr>
              <w:t>FTA</w:t>
            </w:r>
            <w:r w:rsidRPr="00BF7800">
              <w:rPr>
                <w:rFonts w:eastAsia="標楷體" w:hint="eastAsia"/>
              </w:rPr>
              <w:t>已達成協議</w:t>
            </w:r>
            <w:r w:rsidRPr="00BF7800">
              <w:rPr>
                <w:rFonts w:eastAsia="標楷體" w:hint="eastAsia"/>
              </w:rPr>
              <w:t>)</w:t>
            </w:r>
            <w:r w:rsidRPr="00BF7800">
              <w:rPr>
                <w:rFonts w:eastAsia="標楷體" w:hint="eastAsia"/>
              </w:rPr>
              <w:t>對我可能的機會和挑戰。</w:t>
            </w:r>
          </w:p>
        </w:tc>
        <w:tc>
          <w:tcPr>
            <w:tcW w:w="4394" w:type="dxa"/>
          </w:tcPr>
          <w:p w:rsidR="004163FA" w:rsidRPr="007A3F2C" w:rsidRDefault="004163FA" w:rsidP="00B014B3">
            <w:pPr>
              <w:snapToGrid w:val="0"/>
              <w:jc w:val="both"/>
              <w:rPr>
                <w:rFonts w:eastAsia="標楷體"/>
              </w:rPr>
            </w:pPr>
            <w:r>
              <w:rPr>
                <w:rFonts w:eastAsia="標楷體" w:hint="eastAsia"/>
              </w:rPr>
              <w:t>由於這部分內容涉及兩岸政治關係與國際關係之專業領域，本研究團隊僅能新增對於</w:t>
            </w:r>
            <w:r>
              <w:rPr>
                <w:rFonts w:eastAsia="標楷體" w:hint="eastAsia"/>
              </w:rPr>
              <w:t>APEC</w:t>
            </w:r>
            <w:r>
              <w:rPr>
                <w:rFonts w:eastAsia="標楷體" w:hint="eastAsia"/>
              </w:rPr>
              <w:t>之影響以及建議多利用兩岸平臺</w:t>
            </w:r>
            <w:r w:rsidR="0035101D">
              <w:rPr>
                <w:rFonts w:eastAsia="標楷體" w:hint="eastAsia"/>
              </w:rPr>
              <w:t>部分</w:t>
            </w:r>
            <w:r>
              <w:rPr>
                <w:rFonts w:eastAsia="標楷體" w:hint="eastAsia"/>
              </w:rPr>
              <w:t>加以論述。</w:t>
            </w:r>
          </w:p>
        </w:tc>
      </w:tr>
      <w:tr w:rsidR="004163FA" w:rsidRPr="00192748" w:rsidTr="004163FA">
        <w:tc>
          <w:tcPr>
            <w:tcW w:w="4361" w:type="dxa"/>
          </w:tcPr>
          <w:p w:rsidR="004163FA" w:rsidRPr="003F06B2" w:rsidRDefault="004163FA" w:rsidP="00B014B3">
            <w:pPr>
              <w:snapToGrid w:val="0"/>
              <w:ind w:left="312" w:hangingChars="130" w:hanging="312"/>
              <w:jc w:val="both"/>
              <w:rPr>
                <w:rFonts w:eastAsia="標楷體"/>
              </w:rPr>
            </w:pPr>
            <w:r w:rsidRPr="00BF7800">
              <w:rPr>
                <w:rFonts w:eastAsia="標楷體" w:hint="eastAsia"/>
              </w:rPr>
              <w:t>5.</w:t>
            </w:r>
            <w:r w:rsidRPr="00BF7800">
              <w:rPr>
                <w:rFonts w:eastAsia="標楷體" w:hint="eastAsia"/>
              </w:rPr>
              <w:tab/>
            </w:r>
            <w:r w:rsidRPr="00BF7800">
              <w:rPr>
                <w:rFonts w:eastAsia="標楷體" w:hint="eastAsia"/>
              </w:rPr>
              <w:t>自動化趨勢提升兩岸製造業競爭方面，可考慮當前國際政經情勢，加強與日本合作。</w:t>
            </w:r>
          </w:p>
        </w:tc>
        <w:tc>
          <w:tcPr>
            <w:tcW w:w="4394" w:type="dxa"/>
            <w:shd w:val="clear" w:color="auto" w:fill="auto"/>
          </w:tcPr>
          <w:p w:rsidR="004163FA" w:rsidRPr="007A3F2C" w:rsidRDefault="004163FA" w:rsidP="00B014B3">
            <w:pPr>
              <w:snapToGrid w:val="0"/>
              <w:jc w:val="both"/>
              <w:rPr>
                <w:rFonts w:eastAsia="標楷體"/>
              </w:rPr>
            </w:pPr>
            <w:r w:rsidRPr="004163FA">
              <w:rPr>
                <w:rFonts w:eastAsia="標楷體" w:hint="eastAsia"/>
              </w:rPr>
              <w:t>感謝評審意見，已在頁</w:t>
            </w:r>
            <w:r w:rsidRPr="004163FA">
              <w:rPr>
                <w:rFonts w:eastAsia="標楷體" w:hint="eastAsia"/>
              </w:rPr>
              <w:t>134</w:t>
            </w:r>
            <w:r w:rsidRPr="004163FA">
              <w:rPr>
                <w:rFonts w:eastAsia="標楷體" w:hint="eastAsia"/>
              </w:rPr>
              <w:t>加以建議。</w:t>
            </w:r>
          </w:p>
        </w:tc>
      </w:tr>
      <w:tr w:rsidR="004163FA" w:rsidRPr="00192748" w:rsidTr="00B014B3">
        <w:tc>
          <w:tcPr>
            <w:tcW w:w="4361" w:type="dxa"/>
          </w:tcPr>
          <w:p w:rsidR="004163FA" w:rsidRPr="00C46099" w:rsidRDefault="004163FA" w:rsidP="00B014B3">
            <w:pPr>
              <w:tabs>
                <w:tab w:val="center" w:pos="2568"/>
              </w:tabs>
              <w:snapToGrid w:val="0"/>
              <w:ind w:left="264" w:hangingChars="110" w:hanging="264"/>
              <w:jc w:val="both"/>
              <w:rPr>
                <w:rFonts w:eastAsia="標楷體"/>
              </w:rPr>
            </w:pPr>
            <w:r w:rsidRPr="00BF7800">
              <w:rPr>
                <w:rFonts w:eastAsia="標楷體" w:hint="eastAsia"/>
              </w:rPr>
              <w:t>6.</w:t>
            </w:r>
            <w:r w:rsidRPr="00BF7800">
              <w:rPr>
                <w:rFonts w:eastAsia="標楷體" w:hint="eastAsia"/>
              </w:rPr>
              <w:tab/>
            </w:r>
            <w:r w:rsidRPr="00BF7800">
              <w:rPr>
                <w:rFonts w:eastAsia="標楷體" w:hint="eastAsia"/>
              </w:rPr>
              <w:t>政策建議部分，在中國大陸政府採購商機，論述略有不足，建議思考臺灣在</w:t>
            </w:r>
            <w:r w:rsidRPr="00BF7800">
              <w:rPr>
                <w:rFonts w:eastAsia="標楷體" w:hint="eastAsia"/>
              </w:rPr>
              <w:t>WTO</w:t>
            </w:r>
            <w:r w:rsidRPr="00BF7800">
              <w:rPr>
                <w:rFonts w:eastAsia="標楷體" w:hint="eastAsia"/>
              </w:rPr>
              <w:t>結構下就</w:t>
            </w:r>
            <w:r w:rsidRPr="00BF7800">
              <w:rPr>
                <w:rFonts w:eastAsia="標楷體" w:hint="eastAsia"/>
              </w:rPr>
              <w:t>GPA</w:t>
            </w:r>
            <w:r w:rsidRPr="00BF7800">
              <w:rPr>
                <w:rFonts w:eastAsia="標楷體" w:hint="eastAsia"/>
              </w:rPr>
              <w:t>進行談判之可能性，兩岸既有平臺應為備用選項。</w:t>
            </w:r>
          </w:p>
        </w:tc>
        <w:tc>
          <w:tcPr>
            <w:tcW w:w="4394" w:type="dxa"/>
          </w:tcPr>
          <w:p w:rsidR="004163FA" w:rsidRPr="007A3F2C" w:rsidRDefault="004163FA" w:rsidP="00B014B3">
            <w:pPr>
              <w:snapToGrid w:val="0"/>
              <w:jc w:val="both"/>
              <w:rPr>
                <w:rFonts w:eastAsia="標楷體"/>
              </w:rPr>
            </w:pPr>
            <w:r>
              <w:rPr>
                <w:rFonts w:eastAsia="標楷體" w:hint="eastAsia"/>
              </w:rPr>
              <w:t>已於第四章第一節關於中國大陸加入</w:t>
            </w:r>
            <w:r>
              <w:rPr>
                <w:rFonts w:eastAsia="標楷體" w:hint="eastAsia"/>
              </w:rPr>
              <w:t>GPA</w:t>
            </w:r>
            <w:r w:rsidR="0035101D">
              <w:rPr>
                <w:rFonts w:eastAsia="標楷體" w:hint="eastAsia"/>
              </w:rPr>
              <w:t>部分</w:t>
            </w:r>
            <w:r>
              <w:rPr>
                <w:rFonts w:eastAsia="標楷體" w:hint="eastAsia"/>
              </w:rPr>
              <w:t>之論述予以調整。</w:t>
            </w:r>
          </w:p>
        </w:tc>
      </w:tr>
      <w:tr w:rsidR="004163FA" w:rsidRPr="00192748" w:rsidTr="00B014B3">
        <w:tc>
          <w:tcPr>
            <w:tcW w:w="4361" w:type="dxa"/>
          </w:tcPr>
          <w:p w:rsidR="004163FA" w:rsidRPr="003F06B2" w:rsidRDefault="004163FA" w:rsidP="00B014B3">
            <w:pPr>
              <w:snapToGrid w:val="0"/>
              <w:ind w:left="264" w:hangingChars="110" w:hanging="264"/>
              <w:jc w:val="both"/>
              <w:rPr>
                <w:rFonts w:eastAsia="標楷體"/>
              </w:rPr>
            </w:pPr>
            <w:r w:rsidRPr="00BF7800">
              <w:rPr>
                <w:rFonts w:eastAsia="標楷體" w:hint="eastAsia"/>
              </w:rPr>
              <w:t>7.</w:t>
            </w:r>
            <w:r w:rsidRPr="00BF7800">
              <w:rPr>
                <w:rFonts w:eastAsia="標楷體" w:hint="eastAsia"/>
              </w:rPr>
              <w:tab/>
            </w:r>
            <w:r w:rsidRPr="00BF7800">
              <w:rPr>
                <w:rFonts w:eastAsia="標楷體" w:hint="eastAsia"/>
              </w:rPr>
              <w:t>兩岸政策之前瞻，建議可分別從總體</w:t>
            </w:r>
            <w:r w:rsidRPr="00BF7800">
              <w:rPr>
                <w:rFonts w:eastAsia="標楷體" w:hint="eastAsia"/>
              </w:rPr>
              <w:lastRenderedPageBreak/>
              <w:t>政策規劃、市場開放及商機面</w:t>
            </w:r>
            <w:r w:rsidRPr="00BF7800">
              <w:rPr>
                <w:rFonts w:eastAsia="標楷體" w:hint="eastAsia"/>
              </w:rPr>
              <w:t>(</w:t>
            </w:r>
            <w:r w:rsidRPr="00BF7800">
              <w:rPr>
                <w:rFonts w:eastAsia="標楷體" w:hint="eastAsia"/>
              </w:rPr>
              <w:t>如海陸絲綢之路開發</w:t>
            </w:r>
            <w:r w:rsidRPr="00BF7800">
              <w:rPr>
                <w:rFonts w:eastAsia="標楷體" w:hint="eastAsia"/>
              </w:rPr>
              <w:t>)</w:t>
            </w:r>
            <w:r w:rsidRPr="00BF7800">
              <w:rPr>
                <w:rFonts w:eastAsia="標楷體" w:hint="eastAsia"/>
              </w:rPr>
              <w:t>、亞太區域整合及因應中國大陸十三五規劃的前瞻思維等四個面向進行討論。</w:t>
            </w:r>
          </w:p>
        </w:tc>
        <w:tc>
          <w:tcPr>
            <w:tcW w:w="4394" w:type="dxa"/>
          </w:tcPr>
          <w:p w:rsidR="004163FA" w:rsidRPr="007A3F2C" w:rsidRDefault="004163FA" w:rsidP="00B014B3">
            <w:pPr>
              <w:snapToGrid w:val="0"/>
              <w:jc w:val="both"/>
              <w:rPr>
                <w:rFonts w:eastAsia="標楷體"/>
              </w:rPr>
            </w:pPr>
            <w:r>
              <w:rPr>
                <w:rFonts w:eastAsia="標楷體" w:hint="eastAsia"/>
              </w:rPr>
              <w:lastRenderedPageBreak/>
              <w:t>已按評審意見修正政策建議。</w:t>
            </w:r>
          </w:p>
        </w:tc>
      </w:tr>
      <w:tr w:rsidR="004163FA" w:rsidRPr="00192748" w:rsidTr="00B014B3">
        <w:tc>
          <w:tcPr>
            <w:tcW w:w="4361" w:type="dxa"/>
          </w:tcPr>
          <w:p w:rsidR="004163FA" w:rsidRPr="00C46099" w:rsidRDefault="004163FA" w:rsidP="00B014B3">
            <w:pPr>
              <w:snapToGrid w:val="0"/>
              <w:ind w:left="264" w:hangingChars="110" w:hanging="264"/>
              <w:jc w:val="both"/>
              <w:rPr>
                <w:rFonts w:eastAsia="標楷體"/>
              </w:rPr>
            </w:pPr>
            <w:r w:rsidRPr="00BF7800">
              <w:rPr>
                <w:rFonts w:eastAsia="標楷體" w:hint="eastAsia"/>
              </w:rPr>
              <w:lastRenderedPageBreak/>
              <w:t>8.</w:t>
            </w:r>
            <w:r w:rsidRPr="00BF7800">
              <w:rPr>
                <w:rFonts w:eastAsia="標楷體" w:hint="eastAsia"/>
              </w:rPr>
              <w:tab/>
            </w:r>
            <w:r w:rsidRPr="00BF7800">
              <w:rPr>
                <w:rFonts w:eastAsia="標楷體" w:hint="eastAsia"/>
              </w:rPr>
              <w:t>應針對中國大陸政策改變，提出未來臺灣在投資中國大陸方向的指引。</w:t>
            </w:r>
          </w:p>
        </w:tc>
        <w:tc>
          <w:tcPr>
            <w:tcW w:w="4394" w:type="dxa"/>
          </w:tcPr>
          <w:p w:rsidR="004163FA" w:rsidRPr="00BD27D0" w:rsidRDefault="004163FA" w:rsidP="00B014B3">
            <w:pPr>
              <w:snapToGrid w:val="0"/>
              <w:jc w:val="both"/>
              <w:rPr>
                <w:rFonts w:eastAsia="標楷體"/>
              </w:rPr>
            </w:pPr>
            <w:r>
              <w:rPr>
                <w:rFonts w:eastAsia="標楷體" w:hint="eastAsia"/>
              </w:rPr>
              <w:t>已於政策建議中提出。</w:t>
            </w:r>
          </w:p>
        </w:tc>
      </w:tr>
      <w:tr w:rsidR="004163FA" w:rsidRPr="00192748" w:rsidTr="00B014B3">
        <w:tc>
          <w:tcPr>
            <w:tcW w:w="8755" w:type="dxa"/>
            <w:gridSpan w:val="2"/>
          </w:tcPr>
          <w:p w:rsidR="004163FA" w:rsidRPr="003F06B2" w:rsidRDefault="004163FA" w:rsidP="00B014B3">
            <w:pPr>
              <w:snapToGrid w:val="0"/>
              <w:rPr>
                <w:rFonts w:eastAsia="標楷體"/>
              </w:rPr>
            </w:pPr>
            <w:r w:rsidRPr="003F06B2">
              <w:rPr>
                <w:rFonts w:eastAsia="標楷體" w:hint="eastAsia"/>
              </w:rPr>
              <w:t>（二）</w:t>
            </w:r>
            <w:r>
              <w:rPr>
                <w:rFonts w:eastAsia="標楷體" w:hint="eastAsia"/>
              </w:rPr>
              <w:t>郭</w:t>
            </w:r>
            <w:r>
              <w:rPr>
                <w:rFonts w:ascii="標楷體" w:eastAsia="標楷體" w:hAnsi="標楷體" w:hint="eastAsia"/>
              </w:rPr>
              <w:t>○○</w:t>
            </w:r>
            <w:r w:rsidRPr="003F06B2">
              <w:rPr>
                <w:rFonts w:eastAsia="標楷體" w:hint="eastAsia"/>
              </w:rPr>
              <w:t>委員</w:t>
            </w:r>
          </w:p>
        </w:tc>
      </w:tr>
      <w:tr w:rsidR="004163FA" w:rsidRPr="00192748" w:rsidTr="00B014B3">
        <w:tc>
          <w:tcPr>
            <w:tcW w:w="4361" w:type="dxa"/>
          </w:tcPr>
          <w:p w:rsidR="004163FA" w:rsidRPr="00C46099" w:rsidRDefault="004163FA" w:rsidP="00B014B3">
            <w:pPr>
              <w:snapToGrid w:val="0"/>
              <w:ind w:left="312" w:hangingChars="130" w:hanging="312"/>
              <w:jc w:val="both"/>
              <w:rPr>
                <w:rFonts w:eastAsia="標楷體"/>
              </w:rPr>
            </w:pPr>
            <w:r w:rsidRPr="00924D69">
              <w:rPr>
                <w:rFonts w:eastAsia="標楷體" w:hint="eastAsia"/>
              </w:rPr>
              <w:t>1.</w:t>
            </w:r>
            <w:r w:rsidRPr="00924D69">
              <w:rPr>
                <w:rFonts w:eastAsia="標楷體" w:hint="eastAsia"/>
              </w:rPr>
              <w:tab/>
            </w:r>
            <w:r w:rsidRPr="00924D69">
              <w:rPr>
                <w:rFonts w:eastAsia="標楷體" w:hint="eastAsia"/>
              </w:rPr>
              <w:t>有關習李新政重大改革動向，就十三五規劃前期研究動向，蒐集到</w:t>
            </w:r>
            <w:r w:rsidRPr="00924D69">
              <w:rPr>
                <w:rFonts w:eastAsia="標楷體" w:hint="eastAsia"/>
              </w:rPr>
              <w:t>26</w:t>
            </w:r>
            <w:r w:rsidRPr="00924D69">
              <w:rPr>
                <w:rFonts w:eastAsia="標楷體" w:hint="eastAsia"/>
              </w:rPr>
              <w:t>項研究題目，這些規劃尚在動態進行中，未來若定案對中國大陸內部和兩岸會有影響。建議，政府相關部門能夠就這些議題，在未來可能推動並影響臺灣發展之項目，能繼續追蹤、觀察，並掌握即時資訊，分析動向供政府參考。</w:t>
            </w:r>
          </w:p>
        </w:tc>
        <w:tc>
          <w:tcPr>
            <w:tcW w:w="4394" w:type="dxa"/>
          </w:tcPr>
          <w:p w:rsidR="004163FA" w:rsidRPr="003F06B2" w:rsidRDefault="004163FA" w:rsidP="00B014B3">
            <w:pPr>
              <w:snapToGrid w:val="0"/>
              <w:jc w:val="both"/>
              <w:rPr>
                <w:rFonts w:eastAsia="標楷體"/>
              </w:rPr>
            </w:pPr>
            <w:r>
              <w:rPr>
                <w:rFonts w:eastAsia="標楷體" w:hint="eastAsia"/>
              </w:rPr>
              <w:t>認同評審意見，已在政策建議中提出。</w:t>
            </w:r>
          </w:p>
        </w:tc>
      </w:tr>
      <w:tr w:rsidR="004163FA" w:rsidRPr="00192748" w:rsidTr="00B014B3">
        <w:tc>
          <w:tcPr>
            <w:tcW w:w="4361" w:type="dxa"/>
          </w:tcPr>
          <w:p w:rsidR="004163FA" w:rsidRPr="00924D69" w:rsidRDefault="004163FA" w:rsidP="00B014B3">
            <w:pPr>
              <w:snapToGrid w:val="0"/>
              <w:ind w:left="312" w:hangingChars="130" w:hanging="312"/>
              <w:jc w:val="both"/>
              <w:rPr>
                <w:rFonts w:eastAsia="標楷體"/>
              </w:rPr>
            </w:pPr>
            <w:r w:rsidRPr="00924D69">
              <w:rPr>
                <w:rFonts w:eastAsia="標楷體" w:hint="eastAsia"/>
              </w:rPr>
              <w:t>2.</w:t>
            </w:r>
            <w:r w:rsidRPr="00924D69">
              <w:rPr>
                <w:rFonts w:eastAsia="標楷體" w:hint="eastAsia"/>
              </w:rPr>
              <w:tab/>
            </w:r>
            <w:r w:rsidRPr="00924D69">
              <w:rPr>
                <w:rFonts w:eastAsia="標楷體" w:hint="eastAsia"/>
              </w:rPr>
              <w:t>新型城鎮化規劃和重點區域發展，相互之間關聯性、連動性，建議未來可委託智庫進一步深入研究與了解。如依據《全國主體功能區規劃》確立的「兩橫三縱」是城鎮化戰略布局與未來的核心骨架；但「兩橫三縱」可能增加為「三橫三縱」，經濟地理版圖和城鎮化格局又會有新調整。據中國大陸學者吳敬璉的看法，這將會主導中國大陸內需市場之發展。</w:t>
            </w:r>
          </w:p>
        </w:tc>
        <w:tc>
          <w:tcPr>
            <w:tcW w:w="4394" w:type="dxa"/>
          </w:tcPr>
          <w:p w:rsidR="004163FA" w:rsidRPr="003F06B2" w:rsidRDefault="004163FA" w:rsidP="00B014B3">
            <w:pPr>
              <w:snapToGrid w:val="0"/>
              <w:jc w:val="both"/>
              <w:rPr>
                <w:rFonts w:eastAsia="標楷體"/>
              </w:rPr>
            </w:pPr>
            <w:r>
              <w:rPr>
                <w:rFonts w:eastAsia="標楷體" w:hint="eastAsia"/>
              </w:rPr>
              <w:t>認同評審意見，已在政策建議中提出。</w:t>
            </w:r>
          </w:p>
        </w:tc>
      </w:tr>
      <w:tr w:rsidR="004163FA" w:rsidRPr="00192748" w:rsidTr="00B014B3">
        <w:tc>
          <w:tcPr>
            <w:tcW w:w="4361" w:type="dxa"/>
          </w:tcPr>
          <w:p w:rsidR="004163FA" w:rsidRPr="00E34CC1" w:rsidRDefault="004163FA" w:rsidP="00B014B3">
            <w:pPr>
              <w:snapToGrid w:val="0"/>
              <w:ind w:left="312" w:hangingChars="130" w:hanging="312"/>
              <w:jc w:val="both"/>
              <w:rPr>
                <w:rFonts w:eastAsia="標楷體"/>
              </w:rPr>
            </w:pPr>
            <w:r w:rsidRPr="00E34CC1">
              <w:rPr>
                <w:rFonts w:eastAsia="標楷體" w:hint="eastAsia"/>
              </w:rPr>
              <w:t>3.</w:t>
            </w:r>
            <w:r w:rsidRPr="00E34CC1">
              <w:rPr>
                <w:rFonts w:eastAsia="標楷體" w:hint="eastAsia"/>
              </w:rPr>
              <w:tab/>
            </w:r>
            <w:r w:rsidRPr="00E34CC1">
              <w:rPr>
                <w:rFonts w:eastAsia="標楷體" w:hint="eastAsia"/>
              </w:rPr>
              <w:t>自動化在結論應提出對我內部產業具體之政策建議。事實上，中國大陸內部也非常關心和焦慮西方世界的智慧生產技術發展趨勢，如德國「工業</w:t>
            </w:r>
            <w:r w:rsidRPr="00E34CC1">
              <w:rPr>
                <w:rFonts w:eastAsia="標楷體" w:hint="eastAsia"/>
              </w:rPr>
              <w:t>4.0</w:t>
            </w:r>
            <w:r w:rsidRPr="00E34CC1">
              <w:rPr>
                <w:rFonts w:eastAsia="標楷體" w:hint="eastAsia"/>
              </w:rPr>
              <w:t>」的</w:t>
            </w:r>
            <w:r w:rsidRPr="00E34CC1">
              <w:rPr>
                <w:rFonts w:eastAsia="標楷體" w:hint="eastAsia"/>
              </w:rPr>
              <w:t>CPS</w:t>
            </w:r>
            <w:r w:rsidRPr="00E34CC1">
              <w:rPr>
                <w:rFonts w:eastAsia="標楷體" w:hint="eastAsia"/>
              </w:rPr>
              <w:t>。我國於</w:t>
            </w:r>
            <w:r w:rsidRPr="00E34CC1">
              <w:rPr>
                <w:rFonts w:eastAsia="標楷體" w:hint="eastAsia"/>
              </w:rPr>
              <w:t>100</w:t>
            </w:r>
            <w:r w:rsidRPr="00E34CC1">
              <w:rPr>
                <w:rFonts w:eastAsia="標楷體" w:hint="eastAsia"/>
              </w:rPr>
              <w:t>年核定「智慧自動化產業發展方案</w:t>
            </w:r>
            <w:r w:rsidRPr="00E34CC1">
              <w:rPr>
                <w:rFonts w:eastAsia="標楷體" w:hint="eastAsia"/>
              </w:rPr>
              <w:t>(2011-2020)</w:t>
            </w:r>
            <w:r w:rsidRPr="00E34CC1">
              <w:rPr>
                <w:rFonts w:eastAsia="標楷體" w:hint="eastAsia"/>
              </w:rPr>
              <w:t>」，相較於歐美同時在研發推動的新型智慧生產系統，仍落後一個世代。建議政府委託國內智庫，就我國系統如何與美國「先進製造」、德國「工業</w:t>
            </w:r>
            <w:r w:rsidRPr="00E34CC1">
              <w:rPr>
                <w:rFonts w:eastAsia="標楷體" w:hint="eastAsia"/>
              </w:rPr>
              <w:t>4.0</w:t>
            </w:r>
            <w:r w:rsidRPr="00E34CC1">
              <w:rPr>
                <w:rFonts w:eastAsia="標楷體" w:hint="eastAsia"/>
              </w:rPr>
              <w:t>」及日本「未來工廠」進行整合或連結，進行系統性研究，或針對如何升級我國「智慧自動化產業系統」、「生產力</w:t>
            </w:r>
            <w:r w:rsidRPr="00E34CC1">
              <w:rPr>
                <w:rFonts w:eastAsia="標楷體" w:hint="eastAsia"/>
              </w:rPr>
              <w:t>4.0</w:t>
            </w:r>
            <w:r w:rsidRPr="00E34CC1">
              <w:rPr>
                <w:rFonts w:eastAsia="標楷體" w:hint="eastAsia"/>
              </w:rPr>
              <w:t>」系統進行研究，但必須先調查我國目前有關該系統之發展現況和相關問題。</w:t>
            </w:r>
          </w:p>
        </w:tc>
        <w:tc>
          <w:tcPr>
            <w:tcW w:w="4394" w:type="dxa"/>
          </w:tcPr>
          <w:p w:rsidR="004163FA" w:rsidRPr="00E34CC1" w:rsidRDefault="004163FA" w:rsidP="00B014B3">
            <w:pPr>
              <w:snapToGrid w:val="0"/>
              <w:jc w:val="both"/>
              <w:rPr>
                <w:rFonts w:eastAsia="標楷體"/>
              </w:rPr>
            </w:pPr>
            <w:r w:rsidRPr="00E34CC1">
              <w:rPr>
                <w:rFonts w:eastAsia="標楷體" w:hint="eastAsia"/>
              </w:rPr>
              <w:t>已提出相關政策建議，如扶持自動化下游系統整合產業，可同時支撐臺灣自動化產業和產業自動化發展。</w:t>
            </w:r>
            <w:r>
              <w:rPr>
                <w:rFonts w:eastAsia="標楷體" w:hint="eastAsia"/>
              </w:rPr>
              <w:t>並</w:t>
            </w:r>
            <w:r w:rsidRPr="00E34CC1">
              <w:rPr>
                <w:rFonts w:eastAsia="標楷體" w:hint="eastAsia"/>
              </w:rPr>
              <w:t>增添建議政府委託相關技術法人單位進一步深入研究，針對我國自動化現況與國際最新技術的結合，及其相關問題的突破。</w:t>
            </w:r>
          </w:p>
        </w:tc>
      </w:tr>
      <w:tr w:rsidR="004163FA" w:rsidRPr="00192748" w:rsidTr="00B014B3">
        <w:tc>
          <w:tcPr>
            <w:tcW w:w="4361" w:type="dxa"/>
          </w:tcPr>
          <w:p w:rsidR="004163FA" w:rsidRPr="00E34CC1" w:rsidRDefault="004163FA" w:rsidP="00B014B3">
            <w:pPr>
              <w:snapToGrid w:val="0"/>
              <w:ind w:left="312" w:hangingChars="130" w:hanging="312"/>
              <w:jc w:val="both"/>
              <w:rPr>
                <w:rFonts w:eastAsia="標楷體"/>
              </w:rPr>
            </w:pPr>
            <w:r w:rsidRPr="00E34CC1">
              <w:rPr>
                <w:rFonts w:eastAsia="標楷體" w:hint="eastAsia"/>
              </w:rPr>
              <w:t>4.</w:t>
            </w:r>
            <w:r w:rsidRPr="00E34CC1">
              <w:rPr>
                <w:rFonts w:eastAsia="標楷體" w:hint="eastAsia"/>
              </w:rPr>
              <w:tab/>
            </w:r>
            <w:r w:rsidRPr="00E34CC1">
              <w:rPr>
                <w:rFonts w:eastAsia="標楷體" w:hint="eastAsia"/>
              </w:rPr>
              <w:t>就海陸絲綢之路，今年</w:t>
            </w:r>
            <w:r w:rsidRPr="00E34CC1">
              <w:rPr>
                <w:rFonts w:eastAsia="標楷體" w:hint="eastAsia"/>
              </w:rPr>
              <w:t>APEC</w:t>
            </w:r>
            <w:r w:rsidRPr="00E34CC1">
              <w:rPr>
                <w:rFonts w:eastAsia="標楷體" w:hint="eastAsia"/>
              </w:rPr>
              <w:t>會議習近平提到要建立「</w:t>
            </w:r>
            <w:r w:rsidRPr="00E34CC1">
              <w:rPr>
                <w:rFonts w:eastAsia="標楷體" w:hint="eastAsia"/>
              </w:rPr>
              <w:t>400</w:t>
            </w:r>
            <w:r w:rsidRPr="00E34CC1">
              <w:rPr>
                <w:rFonts w:eastAsia="標楷體" w:hint="eastAsia"/>
              </w:rPr>
              <w:t>億美金的絲路</w:t>
            </w:r>
            <w:r w:rsidRPr="00E34CC1">
              <w:rPr>
                <w:rFonts w:eastAsia="標楷體" w:hint="eastAsia"/>
              </w:rPr>
              <w:lastRenderedPageBreak/>
              <w:t>基金」、「一千億的亞太基礎設施投資銀行」，顯示中國大陸有決心取代日本，扮演亞洲領頭羊角色。因此建議在第四章第一節納入該內容，並對我國影響稍微論述評估。同時也建議政府委託智庫，就我國如何參與及可扮演角色、「</w:t>
            </w:r>
            <w:r w:rsidRPr="00E34CC1">
              <w:rPr>
                <w:rFonts w:eastAsia="標楷體" w:hint="eastAsia"/>
              </w:rPr>
              <w:t>400</w:t>
            </w:r>
            <w:r w:rsidRPr="00E34CC1">
              <w:rPr>
                <w:rFonts w:eastAsia="標楷體" w:hint="eastAsia"/>
              </w:rPr>
              <w:t>億美金的絲路基金」與「一千億的亞太基礎設施投資銀行」之籌資，相互間關係進行研究。也可就我國參與</w:t>
            </w:r>
            <w:r w:rsidR="00E96A8E">
              <w:rPr>
                <w:rFonts w:eastAsia="標楷體" w:hint="eastAsia"/>
              </w:rPr>
              <w:t>FTA</w:t>
            </w:r>
            <w:r w:rsidRPr="00E34CC1">
              <w:rPr>
                <w:rFonts w:eastAsia="標楷體" w:hint="eastAsia"/>
              </w:rPr>
              <w:t>AP</w:t>
            </w:r>
            <w:r w:rsidRPr="00E34CC1">
              <w:rPr>
                <w:rFonts w:eastAsia="標楷體" w:hint="eastAsia"/>
              </w:rPr>
              <w:t>、</w:t>
            </w:r>
            <w:r w:rsidRPr="00E34CC1">
              <w:rPr>
                <w:rFonts w:eastAsia="標楷體" w:hint="eastAsia"/>
              </w:rPr>
              <w:t>RCEP</w:t>
            </w:r>
            <w:r w:rsidRPr="00E34CC1">
              <w:rPr>
                <w:rFonts w:eastAsia="標楷體" w:hint="eastAsia"/>
              </w:rPr>
              <w:t>、</w:t>
            </w:r>
            <w:r w:rsidRPr="00E34CC1">
              <w:rPr>
                <w:rFonts w:eastAsia="標楷體" w:hint="eastAsia"/>
              </w:rPr>
              <w:t>TPP</w:t>
            </w:r>
            <w:r w:rsidRPr="00E34CC1">
              <w:rPr>
                <w:rFonts w:eastAsia="標楷體" w:hint="eastAsia"/>
              </w:rPr>
              <w:t>做系統性分析，並提出整體戰略規劃，供政府相關單位參考。</w:t>
            </w:r>
          </w:p>
        </w:tc>
        <w:tc>
          <w:tcPr>
            <w:tcW w:w="4394" w:type="dxa"/>
          </w:tcPr>
          <w:p w:rsidR="004163FA" w:rsidRPr="00E34CC1" w:rsidRDefault="004163FA" w:rsidP="00B014B3">
            <w:pPr>
              <w:snapToGrid w:val="0"/>
              <w:jc w:val="both"/>
              <w:rPr>
                <w:rFonts w:eastAsia="標楷體"/>
              </w:rPr>
            </w:pPr>
            <w:r w:rsidRPr="00E34CC1">
              <w:rPr>
                <w:rFonts w:eastAsia="標楷體" w:hint="eastAsia"/>
              </w:rPr>
              <w:lastRenderedPageBreak/>
              <w:t>已於第四章第一節</w:t>
            </w:r>
            <w:r>
              <w:rPr>
                <w:rFonts w:eastAsia="標楷體" w:hint="eastAsia"/>
              </w:rPr>
              <w:t>新增相關訊息與討論，並在政策建議中建議政府及早進行</w:t>
            </w:r>
            <w:r>
              <w:rPr>
                <w:rFonts w:eastAsia="標楷體" w:hint="eastAsia"/>
              </w:rPr>
              <w:lastRenderedPageBreak/>
              <w:t>相關研究以為因應。</w:t>
            </w:r>
          </w:p>
        </w:tc>
      </w:tr>
      <w:tr w:rsidR="004163FA" w:rsidRPr="00192748" w:rsidTr="00B014B3">
        <w:tc>
          <w:tcPr>
            <w:tcW w:w="8755" w:type="dxa"/>
            <w:gridSpan w:val="2"/>
          </w:tcPr>
          <w:p w:rsidR="004163FA" w:rsidRPr="003F06B2" w:rsidRDefault="004163FA" w:rsidP="00B014B3">
            <w:pPr>
              <w:snapToGrid w:val="0"/>
              <w:rPr>
                <w:rFonts w:eastAsia="標楷體"/>
              </w:rPr>
            </w:pPr>
            <w:r w:rsidRPr="003F06B2">
              <w:rPr>
                <w:rFonts w:eastAsia="標楷體" w:hint="eastAsia"/>
              </w:rPr>
              <w:lastRenderedPageBreak/>
              <w:t>（三）</w:t>
            </w:r>
            <w:r>
              <w:rPr>
                <w:rFonts w:eastAsia="標楷體" w:hint="eastAsia"/>
              </w:rPr>
              <w:t>張</w:t>
            </w:r>
            <w:r>
              <w:rPr>
                <w:rFonts w:ascii="標楷體" w:eastAsia="標楷體" w:hAnsi="標楷體" w:hint="eastAsia"/>
              </w:rPr>
              <w:t>○○</w:t>
            </w:r>
            <w:r w:rsidRPr="003F06B2">
              <w:rPr>
                <w:rFonts w:eastAsia="標楷體" w:hint="eastAsia"/>
              </w:rPr>
              <w:t>委員</w:t>
            </w:r>
          </w:p>
        </w:tc>
      </w:tr>
      <w:tr w:rsidR="004163FA" w:rsidRPr="00515B1B" w:rsidTr="00B014B3">
        <w:tc>
          <w:tcPr>
            <w:tcW w:w="4361" w:type="dxa"/>
          </w:tcPr>
          <w:p w:rsidR="004163FA" w:rsidRPr="00B9327E" w:rsidRDefault="004163FA" w:rsidP="00B014B3">
            <w:pPr>
              <w:snapToGrid w:val="0"/>
              <w:ind w:left="312" w:hangingChars="130" w:hanging="312"/>
              <w:jc w:val="both"/>
              <w:rPr>
                <w:rFonts w:eastAsia="標楷體"/>
              </w:rPr>
            </w:pPr>
            <w:r w:rsidRPr="00C46099">
              <w:rPr>
                <w:rFonts w:eastAsia="標楷體" w:hint="eastAsia"/>
              </w:rPr>
              <w:t>1.</w:t>
            </w:r>
            <w:r w:rsidRPr="00C46099">
              <w:rPr>
                <w:rFonts w:eastAsia="標楷體" w:hint="eastAsia"/>
              </w:rPr>
              <w:tab/>
            </w:r>
            <w:r w:rsidRPr="00B9327E">
              <w:rPr>
                <w:rFonts w:eastAsia="標楷體" w:hint="eastAsia"/>
              </w:rPr>
              <w:t>研究內容充實、發現相當具體，肯定研究團隊用心，惟大</w:t>
            </w:r>
            <w:r>
              <w:rPr>
                <w:rFonts w:eastAsia="標楷體" w:hint="eastAsia"/>
              </w:rPr>
              <w:t>多</w:t>
            </w:r>
            <w:r w:rsidRPr="00B9327E">
              <w:rPr>
                <w:rFonts w:eastAsia="標楷體" w:hint="eastAsia"/>
              </w:rPr>
              <w:t>屬質化推論，缺乏數據應證。建議添加圖表增加可讀性，如稅制改革對生產性服務業之影響，及此部分可增加營改增相關數據。</w:t>
            </w:r>
          </w:p>
        </w:tc>
        <w:tc>
          <w:tcPr>
            <w:tcW w:w="4394" w:type="dxa"/>
          </w:tcPr>
          <w:p w:rsidR="004163FA" w:rsidRPr="003F06B2" w:rsidRDefault="004163FA" w:rsidP="00B014B3">
            <w:pPr>
              <w:snapToGrid w:val="0"/>
              <w:jc w:val="both"/>
              <w:rPr>
                <w:rFonts w:eastAsia="標楷體"/>
              </w:rPr>
            </w:pPr>
            <w:r>
              <w:rPr>
                <w:rFonts w:eastAsia="標楷體" w:hint="eastAsia"/>
              </w:rPr>
              <w:t>已就評審建議新增部分數據圖表。</w:t>
            </w:r>
          </w:p>
        </w:tc>
      </w:tr>
      <w:tr w:rsidR="004163FA" w:rsidRPr="00515B1B" w:rsidTr="00B014B3">
        <w:tc>
          <w:tcPr>
            <w:tcW w:w="4361" w:type="dxa"/>
          </w:tcPr>
          <w:p w:rsidR="004163FA" w:rsidRPr="00B9327E" w:rsidRDefault="004163FA" w:rsidP="00B014B3">
            <w:pPr>
              <w:snapToGrid w:val="0"/>
              <w:ind w:left="312" w:hangingChars="130" w:hanging="312"/>
              <w:jc w:val="both"/>
              <w:rPr>
                <w:rFonts w:eastAsia="標楷體"/>
              </w:rPr>
            </w:pPr>
            <w:r w:rsidRPr="00B9327E">
              <w:rPr>
                <w:rFonts w:eastAsia="標楷體" w:hint="eastAsia"/>
              </w:rPr>
              <w:t>2.</w:t>
            </w:r>
            <w:r w:rsidRPr="00B9327E">
              <w:rPr>
                <w:rFonts w:eastAsia="標楷體" w:hint="eastAsia"/>
              </w:rPr>
              <w:tab/>
            </w:r>
            <w:r w:rsidRPr="00B9327E">
              <w:rPr>
                <w:rFonts w:eastAsia="標楷體" w:hint="eastAsia"/>
              </w:rPr>
              <w:t>在敘述中國大陸政策同時，缺乏探討中國大陸推動相關政策面臨之挑戰，如七大新興戰略性產業，面臨被歐美技術嚴重牽制之問題，建議加強相關論述。</w:t>
            </w:r>
          </w:p>
        </w:tc>
        <w:tc>
          <w:tcPr>
            <w:tcW w:w="4394" w:type="dxa"/>
          </w:tcPr>
          <w:p w:rsidR="004163FA" w:rsidRPr="003F06B2" w:rsidRDefault="004163FA" w:rsidP="00B014B3">
            <w:pPr>
              <w:snapToGrid w:val="0"/>
              <w:jc w:val="both"/>
              <w:rPr>
                <w:rFonts w:eastAsia="標楷體"/>
              </w:rPr>
            </w:pPr>
            <w:r>
              <w:rPr>
                <w:rFonts w:eastAsia="標楷體" w:hint="eastAsia"/>
              </w:rPr>
              <w:t>已於各章小結</w:t>
            </w:r>
            <w:r w:rsidR="0035101D">
              <w:rPr>
                <w:rFonts w:eastAsia="標楷體" w:hint="eastAsia"/>
              </w:rPr>
              <w:t>部分</w:t>
            </w:r>
            <w:r>
              <w:rPr>
                <w:rFonts w:eastAsia="標楷體" w:hint="eastAsia"/>
              </w:rPr>
              <w:t>加強對於中國大陸推動相關政策之挑戰的相關論述。</w:t>
            </w:r>
            <w:r w:rsidRPr="00B9327E">
              <w:rPr>
                <w:rFonts w:eastAsia="標楷體" w:hint="eastAsia"/>
              </w:rPr>
              <w:t>新興戰略性產業</w:t>
            </w:r>
            <w:r w:rsidR="0035101D">
              <w:rPr>
                <w:rFonts w:eastAsia="標楷體" w:hint="eastAsia"/>
              </w:rPr>
              <w:t>部分</w:t>
            </w:r>
            <w:r>
              <w:rPr>
                <w:rFonts w:eastAsia="標楷體" w:hint="eastAsia"/>
              </w:rPr>
              <w:t>由於難以放入此次研究架構中，因此有待後續研究再加以論述。</w:t>
            </w:r>
          </w:p>
        </w:tc>
      </w:tr>
      <w:tr w:rsidR="004163FA" w:rsidRPr="00515B1B" w:rsidTr="00B014B3">
        <w:tc>
          <w:tcPr>
            <w:tcW w:w="4361" w:type="dxa"/>
          </w:tcPr>
          <w:p w:rsidR="004163FA" w:rsidRPr="00B9327E" w:rsidRDefault="004163FA" w:rsidP="00B014B3">
            <w:pPr>
              <w:snapToGrid w:val="0"/>
              <w:ind w:left="312" w:hangingChars="130" w:hanging="312"/>
              <w:jc w:val="both"/>
              <w:rPr>
                <w:rFonts w:eastAsia="標楷體"/>
              </w:rPr>
            </w:pPr>
            <w:r w:rsidRPr="00B9327E">
              <w:rPr>
                <w:rFonts w:eastAsia="標楷體" w:hint="eastAsia"/>
              </w:rPr>
              <w:t>3.</w:t>
            </w:r>
            <w:r w:rsidRPr="00B9327E">
              <w:rPr>
                <w:rFonts w:eastAsia="標楷體" w:hint="eastAsia"/>
              </w:rPr>
              <w:tab/>
            </w:r>
            <w:r w:rsidRPr="00B9327E">
              <w:rPr>
                <w:rFonts w:eastAsia="標楷體" w:hint="eastAsia"/>
              </w:rPr>
              <w:t>在自動化部分，目前強調智慧自動化，中國大陸十三五規劃已明確將其列為重大發展項目，值得持續關注。</w:t>
            </w:r>
          </w:p>
        </w:tc>
        <w:tc>
          <w:tcPr>
            <w:tcW w:w="4394" w:type="dxa"/>
          </w:tcPr>
          <w:p w:rsidR="004163FA" w:rsidRPr="003F06B2" w:rsidRDefault="004163FA" w:rsidP="00B014B3">
            <w:pPr>
              <w:snapToGrid w:val="0"/>
              <w:jc w:val="both"/>
              <w:rPr>
                <w:rFonts w:eastAsia="標楷體"/>
              </w:rPr>
            </w:pPr>
            <w:r>
              <w:rPr>
                <w:rFonts w:eastAsia="標楷體" w:hint="eastAsia"/>
              </w:rPr>
              <w:t>已於</w:t>
            </w:r>
            <w:r w:rsidRPr="004163FA">
              <w:rPr>
                <w:rFonts w:eastAsia="標楷體" w:hint="eastAsia"/>
              </w:rPr>
              <w:t>頁</w:t>
            </w:r>
            <w:r w:rsidRPr="004163FA">
              <w:rPr>
                <w:rFonts w:eastAsia="標楷體" w:hint="eastAsia"/>
              </w:rPr>
              <w:t>150</w:t>
            </w:r>
            <w:r>
              <w:rPr>
                <w:rFonts w:eastAsia="標楷體" w:hint="eastAsia"/>
              </w:rPr>
              <w:t>呈現相關敘述，並增加建議政府應持續關注。</w:t>
            </w:r>
          </w:p>
        </w:tc>
      </w:tr>
      <w:tr w:rsidR="004163FA" w:rsidRPr="00515B1B" w:rsidTr="00B014B3">
        <w:tc>
          <w:tcPr>
            <w:tcW w:w="4361" w:type="dxa"/>
          </w:tcPr>
          <w:p w:rsidR="004163FA" w:rsidRPr="003F06B2" w:rsidRDefault="004163FA" w:rsidP="00B014B3">
            <w:pPr>
              <w:snapToGrid w:val="0"/>
              <w:ind w:left="312" w:hangingChars="130" w:hanging="312"/>
              <w:jc w:val="both"/>
              <w:rPr>
                <w:rFonts w:eastAsia="標楷體"/>
              </w:rPr>
            </w:pPr>
            <w:r w:rsidRPr="00B9327E">
              <w:rPr>
                <w:rFonts w:eastAsia="標楷體" w:hint="eastAsia"/>
              </w:rPr>
              <w:t>4.</w:t>
            </w:r>
            <w:r w:rsidRPr="00B9327E">
              <w:rPr>
                <w:rFonts w:eastAsia="標楷體" w:hint="eastAsia"/>
              </w:rPr>
              <w:tab/>
            </w:r>
            <w:r w:rsidRPr="00B9327E">
              <w:rPr>
                <w:rFonts w:eastAsia="標楷體" w:hint="eastAsia"/>
              </w:rPr>
              <w:t>四大構面議題多是分析政策或戰略走向，建議加入這些政策推動可能產生之問題，如專利布局等。並建議將此四大議題做成大表，內容包含各議題發展現況、對臺灣之挑戰</w:t>
            </w:r>
            <w:r w:rsidRPr="00B9327E">
              <w:rPr>
                <w:rFonts w:eastAsia="標楷體" w:hint="eastAsia"/>
              </w:rPr>
              <w:t>(</w:t>
            </w:r>
            <w:r w:rsidRPr="00B9327E">
              <w:rPr>
                <w:rFonts w:eastAsia="標楷體" w:hint="eastAsia"/>
              </w:rPr>
              <w:t>包含因應</w:t>
            </w:r>
            <w:r w:rsidRPr="00B9327E">
              <w:rPr>
                <w:rFonts w:eastAsia="標楷體" w:hint="eastAsia"/>
              </w:rPr>
              <w:t>)</w:t>
            </w:r>
            <w:r w:rsidRPr="00B9327E">
              <w:rPr>
                <w:rFonts w:eastAsia="標楷體" w:hint="eastAsia"/>
              </w:rPr>
              <w:t>、機會</w:t>
            </w:r>
            <w:r w:rsidRPr="00B9327E">
              <w:rPr>
                <w:rFonts w:eastAsia="標楷體" w:hint="eastAsia"/>
              </w:rPr>
              <w:t>(</w:t>
            </w:r>
            <w:r w:rsidRPr="00B9327E">
              <w:rPr>
                <w:rFonts w:eastAsia="標楷體" w:hint="eastAsia"/>
              </w:rPr>
              <w:t>包含掌握</w:t>
            </w:r>
            <w:r w:rsidRPr="00B9327E">
              <w:rPr>
                <w:rFonts w:eastAsia="標楷體" w:hint="eastAsia"/>
              </w:rPr>
              <w:t>)</w:t>
            </w:r>
            <w:r w:rsidRPr="00B9327E">
              <w:rPr>
                <w:rFonts w:eastAsia="標楷體" w:hint="eastAsia"/>
              </w:rPr>
              <w:t>，增加報告可讀性，並利於規劃後續研究方向。</w:t>
            </w:r>
          </w:p>
        </w:tc>
        <w:tc>
          <w:tcPr>
            <w:tcW w:w="4394" w:type="dxa"/>
          </w:tcPr>
          <w:p w:rsidR="004163FA" w:rsidRPr="002B4D0C" w:rsidRDefault="004163FA" w:rsidP="00B014B3">
            <w:pPr>
              <w:snapToGrid w:val="0"/>
              <w:jc w:val="both"/>
              <w:rPr>
                <w:rFonts w:eastAsia="標楷體"/>
                <w:highlight w:val="yellow"/>
              </w:rPr>
            </w:pPr>
            <w:r>
              <w:rPr>
                <w:rFonts w:eastAsia="標楷體" w:hint="eastAsia"/>
              </w:rPr>
              <w:t>感謝評審意見。</w:t>
            </w:r>
            <w:r w:rsidRPr="00EB5A0B">
              <w:rPr>
                <w:rFonts w:eastAsia="標楷體" w:hint="eastAsia"/>
              </w:rPr>
              <w:t>如同前述已加強對於中國大陸推動相關政策之挑戰的相關論述。</w:t>
            </w:r>
            <w:r>
              <w:rPr>
                <w:rFonts w:eastAsia="標楷體" w:hint="eastAsia"/>
              </w:rPr>
              <w:t>另，由於四大構面議題性質各異，深廣度亦有很大不同，若以表列方式處理可能不易處理，經考量後仍決定維持既有格式，但加強對於評審提醒內容之論述。</w:t>
            </w:r>
          </w:p>
        </w:tc>
      </w:tr>
      <w:tr w:rsidR="004163FA" w:rsidRPr="00192748" w:rsidTr="00B014B3">
        <w:tc>
          <w:tcPr>
            <w:tcW w:w="8755" w:type="dxa"/>
            <w:gridSpan w:val="2"/>
          </w:tcPr>
          <w:p w:rsidR="004163FA" w:rsidRPr="003F06B2" w:rsidRDefault="004163FA" w:rsidP="00B014B3">
            <w:pPr>
              <w:snapToGrid w:val="0"/>
              <w:rPr>
                <w:rFonts w:eastAsia="標楷體"/>
              </w:rPr>
            </w:pPr>
            <w:r w:rsidRPr="003F06B2">
              <w:rPr>
                <w:rFonts w:eastAsia="標楷體" w:hint="eastAsia"/>
              </w:rPr>
              <w:t>（四）本會意見</w:t>
            </w:r>
          </w:p>
        </w:tc>
      </w:tr>
      <w:tr w:rsidR="004163FA" w:rsidRPr="00192748" w:rsidTr="00B014B3">
        <w:tc>
          <w:tcPr>
            <w:tcW w:w="4361" w:type="dxa"/>
          </w:tcPr>
          <w:p w:rsidR="004163FA" w:rsidRPr="00A440AE" w:rsidRDefault="004163FA" w:rsidP="00B014B3">
            <w:pPr>
              <w:snapToGrid w:val="0"/>
              <w:ind w:left="312" w:hangingChars="130" w:hanging="312"/>
              <w:jc w:val="both"/>
              <w:rPr>
                <w:rFonts w:eastAsia="標楷體"/>
              </w:rPr>
            </w:pPr>
            <w:r w:rsidRPr="00F51008">
              <w:rPr>
                <w:rFonts w:eastAsia="標楷體" w:hint="eastAsia"/>
              </w:rPr>
              <w:t>1.</w:t>
            </w:r>
            <w:r w:rsidRPr="00F51008">
              <w:rPr>
                <w:rFonts w:eastAsia="標楷體" w:hint="eastAsia"/>
              </w:rPr>
              <w:tab/>
            </w:r>
            <w:r w:rsidRPr="00A440AE">
              <w:rPr>
                <w:rFonts w:eastAsia="標楷體" w:hint="eastAsia"/>
              </w:rPr>
              <w:t>章節架構符合期初審查會議要求，惟原定第四章第五節邊境貿易未於期末報告呈現，請補充。</w:t>
            </w:r>
          </w:p>
        </w:tc>
        <w:tc>
          <w:tcPr>
            <w:tcW w:w="4394" w:type="dxa"/>
          </w:tcPr>
          <w:p w:rsidR="004163FA" w:rsidRPr="003F06B2" w:rsidRDefault="004163FA" w:rsidP="00B014B3">
            <w:pPr>
              <w:snapToGrid w:val="0"/>
              <w:jc w:val="both"/>
              <w:rPr>
                <w:rFonts w:eastAsia="標楷體"/>
              </w:rPr>
            </w:pPr>
            <w:r>
              <w:rPr>
                <w:rFonts w:eastAsia="標楷體" w:hint="eastAsia"/>
              </w:rPr>
              <w:t>邊貿議題由於期中審查時認為該議題相對較不重要，加上</w:t>
            </w:r>
            <w:r>
              <w:rPr>
                <w:rFonts w:eastAsia="標楷體" w:hint="eastAsia"/>
              </w:rPr>
              <w:t>2014</w:t>
            </w:r>
            <w:r>
              <w:rPr>
                <w:rFonts w:eastAsia="標楷體" w:hint="eastAsia"/>
              </w:rPr>
              <w:t>年政策新動向較少，為了聚焦探討而決定撤除小節，已於第四章第四節補充簡要敘述。</w:t>
            </w:r>
          </w:p>
        </w:tc>
      </w:tr>
      <w:tr w:rsidR="004163FA" w:rsidRPr="00515B1B" w:rsidTr="00B014B3">
        <w:tc>
          <w:tcPr>
            <w:tcW w:w="4361" w:type="dxa"/>
          </w:tcPr>
          <w:p w:rsidR="004163FA" w:rsidRPr="00D55BCC" w:rsidRDefault="004163FA" w:rsidP="00B014B3">
            <w:pPr>
              <w:snapToGrid w:val="0"/>
              <w:ind w:left="312" w:hangingChars="130" w:hanging="312"/>
              <w:jc w:val="both"/>
              <w:rPr>
                <w:rFonts w:eastAsia="標楷體"/>
              </w:rPr>
            </w:pPr>
            <w:r w:rsidRPr="00D55BCC">
              <w:rPr>
                <w:rFonts w:eastAsia="標楷體" w:hint="eastAsia"/>
              </w:rPr>
              <w:t>2.</w:t>
            </w:r>
            <w:r w:rsidRPr="00D55BCC">
              <w:rPr>
                <w:rFonts w:eastAsia="標楷體" w:hint="eastAsia"/>
              </w:rPr>
              <w:tab/>
            </w:r>
            <w:r w:rsidRPr="00A440AE">
              <w:rPr>
                <w:rFonts w:eastAsia="標楷體" w:hint="eastAsia"/>
              </w:rPr>
              <w:t>第四章第一節海陸絲綢之路戰略部分，請重點式納入最新發展，包含習近平於</w:t>
            </w:r>
            <w:r w:rsidRPr="00A440AE">
              <w:rPr>
                <w:rFonts w:eastAsia="標楷體" w:hint="eastAsia"/>
              </w:rPr>
              <w:t>2014</w:t>
            </w:r>
            <w:r w:rsidRPr="00A440AE">
              <w:rPr>
                <w:rFonts w:eastAsia="標楷體" w:hint="eastAsia"/>
              </w:rPr>
              <w:t>年</w:t>
            </w:r>
            <w:r w:rsidRPr="00A440AE">
              <w:rPr>
                <w:rFonts w:eastAsia="標楷體" w:hint="eastAsia"/>
              </w:rPr>
              <w:t>11</w:t>
            </w:r>
            <w:r w:rsidRPr="00A440AE">
              <w:rPr>
                <w:rFonts w:eastAsia="標楷體" w:hint="eastAsia"/>
              </w:rPr>
              <w:t>月</w:t>
            </w:r>
            <w:r w:rsidRPr="00A440AE">
              <w:rPr>
                <w:rFonts w:eastAsia="標楷體" w:hint="eastAsia"/>
              </w:rPr>
              <w:t>APEC</w:t>
            </w:r>
            <w:r w:rsidRPr="00A440AE">
              <w:rPr>
                <w:rFonts w:eastAsia="標楷體" w:hint="eastAsia"/>
              </w:rPr>
              <w:t>宣布中國大陸出資</w:t>
            </w:r>
            <w:r w:rsidRPr="00A440AE">
              <w:rPr>
                <w:rFonts w:eastAsia="標楷體" w:hint="eastAsia"/>
              </w:rPr>
              <w:t>400</w:t>
            </w:r>
            <w:r w:rsidRPr="00A440AE">
              <w:rPr>
                <w:rFonts w:eastAsia="標楷體" w:hint="eastAsia"/>
              </w:rPr>
              <w:t>億美元成立絲路基金等重要內容；並補充亞洲基礎設施投資</w:t>
            </w:r>
            <w:r w:rsidRPr="00A440AE">
              <w:rPr>
                <w:rFonts w:eastAsia="標楷體" w:hint="eastAsia"/>
              </w:rPr>
              <w:lastRenderedPageBreak/>
              <w:t>銀行之相關進展。</w:t>
            </w:r>
          </w:p>
        </w:tc>
        <w:tc>
          <w:tcPr>
            <w:tcW w:w="4394" w:type="dxa"/>
          </w:tcPr>
          <w:p w:rsidR="004163FA" w:rsidRPr="005E65AD" w:rsidRDefault="004163FA" w:rsidP="00B014B3">
            <w:pPr>
              <w:snapToGrid w:val="0"/>
              <w:jc w:val="both"/>
              <w:rPr>
                <w:rFonts w:eastAsia="標楷體"/>
              </w:rPr>
            </w:pPr>
            <w:r>
              <w:rPr>
                <w:rFonts w:eastAsia="標楷體" w:hint="eastAsia"/>
              </w:rPr>
              <w:lastRenderedPageBreak/>
              <w:t>已於第四章就左列議題予以新增、更新或補強。</w:t>
            </w:r>
          </w:p>
        </w:tc>
      </w:tr>
      <w:tr w:rsidR="004163FA" w:rsidRPr="00515B1B" w:rsidTr="00B014B3">
        <w:tc>
          <w:tcPr>
            <w:tcW w:w="4361" w:type="dxa"/>
          </w:tcPr>
          <w:p w:rsidR="004163FA" w:rsidRPr="00D55BCC" w:rsidRDefault="004163FA" w:rsidP="00B014B3">
            <w:pPr>
              <w:snapToGrid w:val="0"/>
              <w:ind w:left="312" w:hangingChars="130" w:hanging="312"/>
              <w:jc w:val="both"/>
              <w:rPr>
                <w:rFonts w:eastAsia="標楷體"/>
              </w:rPr>
            </w:pPr>
            <w:r w:rsidRPr="00D55BCC">
              <w:rPr>
                <w:rFonts w:eastAsia="標楷體" w:hint="eastAsia"/>
              </w:rPr>
              <w:lastRenderedPageBreak/>
              <w:t>3.</w:t>
            </w:r>
            <w:r w:rsidRPr="00D55BCC">
              <w:rPr>
                <w:rFonts w:eastAsia="標楷體" w:hint="eastAsia"/>
              </w:rPr>
              <w:tab/>
            </w:r>
            <w:r w:rsidRPr="00A440AE">
              <w:rPr>
                <w:rFonts w:eastAsia="標楷體" w:hint="eastAsia"/>
              </w:rPr>
              <w:t>第六章第二節提出的政策建議，部分屬原則與方向之概括性論述，建議補強提出具體且可行之政策建議。</w:t>
            </w:r>
          </w:p>
        </w:tc>
        <w:tc>
          <w:tcPr>
            <w:tcW w:w="4394" w:type="dxa"/>
          </w:tcPr>
          <w:p w:rsidR="004163FA" w:rsidRPr="003F06B2" w:rsidRDefault="004163FA" w:rsidP="00B014B3">
            <w:pPr>
              <w:snapToGrid w:val="0"/>
              <w:jc w:val="both"/>
              <w:rPr>
                <w:rFonts w:eastAsia="標楷體"/>
              </w:rPr>
            </w:pPr>
            <w:r>
              <w:rPr>
                <w:rFonts w:eastAsia="標楷體" w:hint="eastAsia"/>
              </w:rPr>
              <w:t>已強化</w:t>
            </w:r>
            <w:r w:rsidRPr="00A440AE">
              <w:rPr>
                <w:rFonts w:eastAsia="標楷體" w:hint="eastAsia"/>
              </w:rPr>
              <w:t>政策建議</w:t>
            </w:r>
            <w:r>
              <w:rPr>
                <w:rFonts w:eastAsia="標楷體" w:hint="eastAsia"/>
              </w:rPr>
              <w:t>之內容。</w:t>
            </w:r>
          </w:p>
        </w:tc>
      </w:tr>
      <w:tr w:rsidR="004163FA" w:rsidRPr="00515B1B" w:rsidTr="00B014B3">
        <w:tc>
          <w:tcPr>
            <w:tcW w:w="4361" w:type="dxa"/>
          </w:tcPr>
          <w:p w:rsidR="004163FA" w:rsidRPr="002C187F" w:rsidRDefault="004163FA" w:rsidP="00B014B3">
            <w:pPr>
              <w:snapToGrid w:val="0"/>
              <w:ind w:left="312" w:hangingChars="130" w:hanging="312"/>
              <w:jc w:val="both"/>
              <w:rPr>
                <w:rFonts w:eastAsia="標楷體"/>
              </w:rPr>
            </w:pPr>
            <w:r w:rsidRPr="00F51008">
              <w:rPr>
                <w:rFonts w:eastAsia="標楷體" w:hint="eastAsia"/>
              </w:rPr>
              <w:t>4.</w:t>
            </w:r>
            <w:r w:rsidRPr="00F51008">
              <w:rPr>
                <w:rFonts w:eastAsia="標楷體" w:hint="eastAsia"/>
              </w:rPr>
              <w:tab/>
            </w:r>
            <w:r>
              <w:rPr>
                <w:rFonts w:eastAsia="標楷體" w:hint="eastAsia"/>
              </w:rPr>
              <w:t>若干錯漏字及修辭建議如審查意見表，</w:t>
            </w:r>
            <w:r w:rsidRPr="002C187F">
              <w:rPr>
                <w:rFonts w:eastAsia="標楷體" w:hint="eastAsia"/>
              </w:rPr>
              <w:t>請檢視全文並修正：</w:t>
            </w:r>
          </w:p>
        </w:tc>
        <w:tc>
          <w:tcPr>
            <w:tcW w:w="4394" w:type="dxa"/>
          </w:tcPr>
          <w:p w:rsidR="004163FA" w:rsidRPr="003F06B2" w:rsidRDefault="004163FA" w:rsidP="00B014B3">
            <w:pPr>
              <w:snapToGrid w:val="0"/>
              <w:jc w:val="both"/>
              <w:rPr>
                <w:rFonts w:eastAsia="標楷體"/>
              </w:rPr>
            </w:pPr>
            <w:r>
              <w:rPr>
                <w:rFonts w:eastAsia="標楷體" w:hint="eastAsia"/>
              </w:rPr>
              <w:t>已按審查意見修正。</w:t>
            </w:r>
          </w:p>
        </w:tc>
      </w:tr>
      <w:tr w:rsidR="004163FA" w:rsidRPr="00192748" w:rsidTr="00B014B3">
        <w:tc>
          <w:tcPr>
            <w:tcW w:w="8755" w:type="dxa"/>
            <w:gridSpan w:val="2"/>
          </w:tcPr>
          <w:p w:rsidR="004163FA" w:rsidRPr="003F06B2" w:rsidRDefault="004163FA" w:rsidP="00B014B3">
            <w:pPr>
              <w:snapToGrid w:val="0"/>
              <w:rPr>
                <w:rFonts w:eastAsia="標楷體"/>
              </w:rPr>
            </w:pPr>
            <w:r w:rsidRPr="003F06B2">
              <w:rPr>
                <w:rFonts w:eastAsia="標楷體" w:hint="eastAsia"/>
              </w:rPr>
              <w:t>（五）本部</w:t>
            </w:r>
            <w:r>
              <w:rPr>
                <w:rFonts w:eastAsia="標楷體" w:hint="eastAsia"/>
              </w:rPr>
              <w:t>貿易局</w:t>
            </w:r>
          </w:p>
        </w:tc>
      </w:tr>
      <w:tr w:rsidR="004163FA" w:rsidRPr="00192748" w:rsidTr="00B014B3">
        <w:tc>
          <w:tcPr>
            <w:tcW w:w="4361" w:type="dxa"/>
          </w:tcPr>
          <w:p w:rsidR="004163FA" w:rsidRPr="00F51008" w:rsidRDefault="004163FA" w:rsidP="00B014B3">
            <w:pPr>
              <w:snapToGrid w:val="0"/>
              <w:ind w:left="312" w:hangingChars="130" w:hanging="312"/>
              <w:jc w:val="both"/>
              <w:rPr>
                <w:rFonts w:eastAsia="標楷體"/>
              </w:rPr>
            </w:pPr>
            <w:r w:rsidRPr="00F51008">
              <w:rPr>
                <w:rFonts w:eastAsia="標楷體" w:hint="eastAsia"/>
              </w:rPr>
              <w:t>1.</w:t>
            </w:r>
            <w:r w:rsidRPr="00F51008">
              <w:rPr>
                <w:rFonts w:eastAsia="標楷體" w:hint="eastAsia"/>
              </w:rPr>
              <w:tab/>
            </w:r>
            <w:r w:rsidRPr="00CE7668">
              <w:rPr>
                <w:rFonts w:eastAsia="標楷體" w:hint="eastAsia"/>
              </w:rPr>
              <w:t>就報告涉及四大子議題中有關中國大陸官方公布之文件、法規命令及相關人員發言紀錄等政策，建議標註出處來源，如第</w:t>
            </w:r>
            <w:r w:rsidRPr="00CE7668">
              <w:rPr>
                <w:rFonts w:eastAsia="標楷體" w:hint="eastAsia"/>
              </w:rPr>
              <w:t>73</w:t>
            </w:r>
            <w:r w:rsidRPr="00CE7668">
              <w:rPr>
                <w:rFonts w:eastAsia="標楷體" w:hint="eastAsia"/>
              </w:rPr>
              <w:t>頁提及習近平對絲綢之路經濟帶提出「五通」發展目標，請加註習近平於何時何地所提出。</w:t>
            </w:r>
          </w:p>
        </w:tc>
        <w:tc>
          <w:tcPr>
            <w:tcW w:w="4394" w:type="dxa"/>
          </w:tcPr>
          <w:p w:rsidR="004163FA" w:rsidRPr="00235FBF" w:rsidRDefault="004163FA" w:rsidP="00B014B3">
            <w:pPr>
              <w:snapToGrid w:val="0"/>
              <w:jc w:val="both"/>
              <w:rPr>
                <w:rFonts w:eastAsia="標楷體"/>
              </w:rPr>
            </w:pPr>
            <w:r w:rsidRPr="00235FBF">
              <w:rPr>
                <w:rFonts w:eastAsia="標楷體" w:hint="eastAsia"/>
              </w:rPr>
              <w:t>已加強對於</w:t>
            </w:r>
            <w:r w:rsidRPr="00CE7668">
              <w:rPr>
                <w:rFonts w:eastAsia="標楷體" w:hint="eastAsia"/>
              </w:rPr>
              <w:t>文件、法規命令及相關人員發言紀錄等政策，標註出處來源</w:t>
            </w:r>
            <w:r>
              <w:rPr>
                <w:rFonts w:eastAsia="標楷體" w:hint="eastAsia"/>
              </w:rPr>
              <w:t>。</w:t>
            </w:r>
          </w:p>
        </w:tc>
      </w:tr>
      <w:tr w:rsidR="004163FA" w:rsidRPr="00192748" w:rsidTr="00B014B3">
        <w:tc>
          <w:tcPr>
            <w:tcW w:w="4361" w:type="dxa"/>
          </w:tcPr>
          <w:p w:rsidR="004163FA" w:rsidRPr="00CE7668" w:rsidRDefault="004163FA" w:rsidP="00B014B3">
            <w:pPr>
              <w:snapToGrid w:val="0"/>
              <w:ind w:left="312" w:hangingChars="130" w:hanging="312"/>
              <w:jc w:val="both"/>
              <w:rPr>
                <w:rFonts w:eastAsia="標楷體"/>
              </w:rPr>
            </w:pPr>
            <w:r w:rsidRPr="00CE7668">
              <w:rPr>
                <w:rFonts w:eastAsia="標楷體" w:hint="eastAsia"/>
              </w:rPr>
              <w:t>2.</w:t>
            </w:r>
            <w:r w:rsidRPr="00CE7668">
              <w:rPr>
                <w:rFonts w:eastAsia="標楷體" w:hint="eastAsia"/>
              </w:rPr>
              <w:tab/>
            </w:r>
            <w:r w:rsidRPr="00CE7668">
              <w:rPr>
                <w:rFonts w:eastAsia="標楷體" w:hint="eastAsia"/>
              </w:rPr>
              <w:t>第</w:t>
            </w:r>
            <w:r w:rsidRPr="00CE7668">
              <w:rPr>
                <w:rFonts w:eastAsia="標楷體" w:hint="eastAsia"/>
              </w:rPr>
              <w:t>44</w:t>
            </w:r>
            <w:r w:rsidRPr="00CE7668">
              <w:rPr>
                <w:rFonts w:eastAsia="標楷體" w:hint="eastAsia"/>
              </w:rPr>
              <w:t>頁提及中國大陸成立「中央全面深化改革領導小組」，建議補充該小組成員與歷次開會情形等。</w:t>
            </w:r>
          </w:p>
        </w:tc>
        <w:tc>
          <w:tcPr>
            <w:tcW w:w="4394" w:type="dxa"/>
          </w:tcPr>
          <w:p w:rsidR="004163FA" w:rsidRPr="003F06B2" w:rsidRDefault="004163FA" w:rsidP="00B014B3">
            <w:pPr>
              <w:snapToGrid w:val="0"/>
              <w:jc w:val="both"/>
              <w:rPr>
                <w:rFonts w:eastAsia="標楷體"/>
              </w:rPr>
            </w:pPr>
            <w:r>
              <w:rPr>
                <w:rFonts w:eastAsia="標楷體" w:hint="eastAsia"/>
              </w:rPr>
              <w:t>已於第二章第四節簡略補強敘述並加入最新的第六次會議的內容。</w:t>
            </w:r>
          </w:p>
        </w:tc>
      </w:tr>
      <w:tr w:rsidR="004163FA" w:rsidRPr="00192748" w:rsidTr="00B014B3">
        <w:tc>
          <w:tcPr>
            <w:tcW w:w="4361" w:type="dxa"/>
          </w:tcPr>
          <w:p w:rsidR="004163FA" w:rsidRPr="00CE7668" w:rsidRDefault="004163FA" w:rsidP="00B014B3">
            <w:pPr>
              <w:snapToGrid w:val="0"/>
              <w:ind w:left="312" w:hangingChars="130" w:hanging="312"/>
              <w:jc w:val="both"/>
              <w:rPr>
                <w:rFonts w:eastAsia="標楷體"/>
              </w:rPr>
            </w:pPr>
            <w:r w:rsidRPr="00CE7668">
              <w:rPr>
                <w:rFonts w:eastAsia="標楷體" w:hint="eastAsia"/>
              </w:rPr>
              <w:t>3.</w:t>
            </w:r>
            <w:r w:rsidRPr="00CE7668">
              <w:rPr>
                <w:rFonts w:eastAsia="標楷體" w:hint="eastAsia"/>
              </w:rPr>
              <w:tab/>
            </w:r>
            <w:r w:rsidRPr="00CE7668">
              <w:rPr>
                <w:rFonts w:eastAsia="標楷體" w:hint="eastAsia"/>
              </w:rPr>
              <w:t>第</w:t>
            </w:r>
            <w:r w:rsidRPr="00CE7668">
              <w:rPr>
                <w:rFonts w:eastAsia="標楷體" w:hint="eastAsia"/>
              </w:rPr>
              <w:t>83</w:t>
            </w:r>
            <w:r w:rsidRPr="00CE7668">
              <w:rPr>
                <w:rFonts w:eastAsia="標楷體" w:hint="eastAsia"/>
              </w:rPr>
              <w:t>頁「中國大陸對外經貿戰略」，建議增加陸韓</w:t>
            </w:r>
            <w:r w:rsidRPr="00CE7668">
              <w:rPr>
                <w:rFonts w:eastAsia="標楷體" w:hint="eastAsia"/>
              </w:rPr>
              <w:t>FTA</w:t>
            </w:r>
            <w:r w:rsidRPr="00CE7668">
              <w:rPr>
                <w:rFonts w:eastAsia="標楷體" w:hint="eastAsia"/>
              </w:rPr>
              <w:t>內容。</w:t>
            </w:r>
          </w:p>
        </w:tc>
        <w:tc>
          <w:tcPr>
            <w:tcW w:w="4394" w:type="dxa"/>
          </w:tcPr>
          <w:p w:rsidR="004163FA" w:rsidRPr="003F06B2" w:rsidRDefault="004163FA" w:rsidP="00B014B3">
            <w:pPr>
              <w:snapToGrid w:val="0"/>
              <w:jc w:val="both"/>
              <w:rPr>
                <w:rFonts w:eastAsia="標楷體"/>
              </w:rPr>
            </w:pPr>
            <w:r>
              <w:rPr>
                <w:rFonts w:eastAsia="標楷體" w:hint="eastAsia"/>
              </w:rPr>
              <w:t>已更新資訊，但由於其尚未完成，仍列於正在談判之</w:t>
            </w:r>
            <w:r>
              <w:rPr>
                <w:rFonts w:eastAsia="標楷體" w:hint="eastAsia"/>
              </w:rPr>
              <w:t>FTA</w:t>
            </w:r>
            <w:r>
              <w:rPr>
                <w:rFonts w:eastAsia="標楷體" w:hint="eastAsia"/>
              </w:rPr>
              <w:t>當中。</w:t>
            </w:r>
          </w:p>
        </w:tc>
      </w:tr>
      <w:tr w:rsidR="004163FA" w:rsidRPr="00192748" w:rsidTr="00B014B3">
        <w:tc>
          <w:tcPr>
            <w:tcW w:w="4361" w:type="dxa"/>
          </w:tcPr>
          <w:p w:rsidR="004163FA" w:rsidRPr="00CE7668" w:rsidRDefault="004163FA" w:rsidP="00B014B3">
            <w:pPr>
              <w:snapToGrid w:val="0"/>
              <w:ind w:left="312" w:hangingChars="130" w:hanging="312"/>
              <w:jc w:val="both"/>
              <w:rPr>
                <w:rFonts w:eastAsia="標楷體"/>
              </w:rPr>
            </w:pPr>
            <w:r w:rsidRPr="00CE7668">
              <w:rPr>
                <w:rFonts w:eastAsia="標楷體" w:hint="eastAsia"/>
              </w:rPr>
              <w:t>4.</w:t>
            </w:r>
            <w:r w:rsidRPr="00CE7668">
              <w:rPr>
                <w:rFonts w:eastAsia="標楷體" w:hint="eastAsia"/>
              </w:rPr>
              <w:tab/>
            </w:r>
            <w:r w:rsidRPr="00CE7668">
              <w:rPr>
                <w:rFonts w:eastAsia="標楷體" w:hint="eastAsia"/>
              </w:rPr>
              <w:t>第</w:t>
            </w:r>
            <w:r w:rsidRPr="00CE7668">
              <w:rPr>
                <w:rFonts w:eastAsia="標楷體" w:hint="eastAsia"/>
              </w:rPr>
              <w:t>89</w:t>
            </w:r>
            <w:r w:rsidRPr="00CE7668">
              <w:rPr>
                <w:rFonts w:eastAsia="標楷體" w:hint="eastAsia"/>
              </w:rPr>
              <w:t>頁「自貿區試驗探索對外開放」，有關上海自由貿易試驗區部分，建議增加臺商目前在該區投資情形</w:t>
            </w:r>
            <w:r w:rsidRPr="00CE7668">
              <w:rPr>
                <w:rFonts w:eastAsia="標楷體" w:hint="eastAsia"/>
              </w:rPr>
              <w:t>(</w:t>
            </w:r>
            <w:r w:rsidRPr="00CE7668">
              <w:rPr>
                <w:rFonts w:eastAsia="標楷體" w:hint="eastAsia"/>
              </w:rPr>
              <w:t>如廠商、行業、投資額及最新發展情況</w:t>
            </w:r>
            <w:r w:rsidRPr="00CE7668">
              <w:rPr>
                <w:rFonts w:eastAsia="標楷體" w:hint="eastAsia"/>
              </w:rPr>
              <w:t>)</w:t>
            </w:r>
            <w:r w:rsidRPr="00CE7668">
              <w:rPr>
                <w:rFonts w:eastAsia="標楷體" w:hint="eastAsia"/>
              </w:rPr>
              <w:t>。</w:t>
            </w:r>
          </w:p>
        </w:tc>
        <w:tc>
          <w:tcPr>
            <w:tcW w:w="4394" w:type="dxa"/>
          </w:tcPr>
          <w:p w:rsidR="004163FA" w:rsidRPr="003F06B2" w:rsidRDefault="004163FA" w:rsidP="00B014B3">
            <w:pPr>
              <w:snapToGrid w:val="0"/>
              <w:jc w:val="both"/>
              <w:rPr>
                <w:rFonts w:eastAsia="標楷體"/>
              </w:rPr>
            </w:pPr>
            <w:r>
              <w:rPr>
                <w:rFonts w:eastAsia="標楷體" w:hint="eastAsia"/>
              </w:rPr>
              <w:t>已於第四章第三節新增上海自貿區臺商投資現況。</w:t>
            </w:r>
          </w:p>
        </w:tc>
      </w:tr>
      <w:tr w:rsidR="004163FA" w:rsidRPr="00192748" w:rsidTr="00B014B3">
        <w:tc>
          <w:tcPr>
            <w:tcW w:w="4361" w:type="dxa"/>
          </w:tcPr>
          <w:p w:rsidR="004163FA" w:rsidRDefault="004163FA" w:rsidP="00B014B3">
            <w:pPr>
              <w:snapToGrid w:val="0"/>
              <w:ind w:left="312" w:hangingChars="130" w:hanging="312"/>
              <w:jc w:val="both"/>
              <w:rPr>
                <w:rFonts w:eastAsia="標楷體"/>
              </w:rPr>
            </w:pPr>
            <w:r w:rsidRPr="00CE7668">
              <w:rPr>
                <w:rFonts w:eastAsia="標楷體" w:hint="eastAsia"/>
              </w:rPr>
              <w:t>5.</w:t>
            </w:r>
            <w:r w:rsidRPr="00CE7668">
              <w:rPr>
                <w:rFonts w:eastAsia="標楷體" w:hint="eastAsia"/>
              </w:rPr>
              <w:tab/>
            </w:r>
            <w:r w:rsidRPr="00CE7668">
              <w:rPr>
                <w:rFonts w:eastAsia="標楷體" w:hint="eastAsia"/>
              </w:rPr>
              <w:t>第六章政策建議應更具體，如兩岸產業如何合作、合作項目，我國有利基貨品及拓銷方式，及對現行政策之檢討等。</w:t>
            </w:r>
          </w:p>
        </w:tc>
        <w:tc>
          <w:tcPr>
            <w:tcW w:w="4394" w:type="dxa"/>
          </w:tcPr>
          <w:p w:rsidR="004163FA" w:rsidRPr="003F06B2" w:rsidRDefault="004163FA" w:rsidP="00B014B3">
            <w:pPr>
              <w:snapToGrid w:val="0"/>
              <w:jc w:val="both"/>
              <w:rPr>
                <w:rFonts w:eastAsia="標楷體"/>
              </w:rPr>
            </w:pPr>
            <w:r>
              <w:rPr>
                <w:rFonts w:eastAsia="標楷體" w:hint="eastAsia"/>
              </w:rPr>
              <w:t>已強化</w:t>
            </w:r>
            <w:r w:rsidRPr="00A440AE">
              <w:rPr>
                <w:rFonts w:eastAsia="標楷體" w:hint="eastAsia"/>
              </w:rPr>
              <w:t>政策建議</w:t>
            </w:r>
            <w:r>
              <w:rPr>
                <w:rFonts w:eastAsia="標楷體" w:hint="eastAsia"/>
              </w:rPr>
              <w:t>之內容，但以目前研究範圍較廣，難以對於細部產業合作方式或是現行政策作出具體建議與檢討。</w:t>
            </w:r>
          </w:p>
        </w:tc>
      </w:tr>
      <w:tr w:rsidR="004163FA" w:rsidRPr="00192748" w:rsidTr="00B014B3">
        <w:tc>
          <w:tcPr>
            <w:tcW w:w="8755" w:type="dxa"/>
            <w:gridSpan w:val="2"/>
          </w:tcPr>
          <w:p w:rsidR="004163FA" w:rsidRPr="003F06B2" w:rsidRDefault="004163FA" w:rsidP="00B014B3">
            <w:pPr>
              <w:snapToGrid w:val="0"/>
              <w:rPr>
                <w:rFonts w:eastAsia="標楷體"/>
              </w:rPr>
            </w:pPr>
            <w:r>
              <w:rPr>
                <w:rFonts w:eastAsia="標楷體" w:hint="eastAsia"/>
              </w:rPr>
              <w:t>（六</w:t>
            </w:r>
            <w:r w:rsidRPr="003F06B2">
              <w:rPr>
                <w:rFonts w:eastAsia="標楷體" w:hint="eastAsia"/>
              </w:rPr>
              <w:t>）本部</w:t>
            </w:r>
            <w:r>
              <w:rPr>
                <w:rFonts w:eastAsia="標楷體" w:hint="eastAsia"/>
              </w:rPr>
              <w:t>投資處</w:t>
            </w:r>
          </w:p>
        </w:tc>
      </w:tr>
      <w:tr w:rsidR="004163FA" w:rsidRPr="00192748" w:rsidTr="00B014B3">
        <w:tc>
          <w:tcPr>
            <w:tcW w:w="4361" w:type="dxa"/>
          </w:tcPr>
          <w:p w:rsidR="004163FA" w:rsidRPr="00F51008" w:rsidRDefault="004163FA" w:rsidP="00B014B3">
            <w:pPr>
              <w:snapToGrid w:val="0"/>
              <w:ind w:left="312" w:hangingChars="130" w:hanging="312"/>
              <w:jc w:val="both"/>
              <w:rPr>
                <w:rFonts w:eastAsia="標楷體"/>
              </w:rPr>
            </w:pPr>
            <w:r w:rsidRPr="00F51008">
              <w:rPr>
                <w:rFonts w:eastAsia="標楷體" w:hint="eastAsia"/>
              </w:rPr>
              <w:tab/>
            </w:r>
            <w:r w:rsidRPr="001C5398">
              <w:rPr>
                <w:rFonts w:eastAsia="標楷體" w:hint="eastAsia"/>
              </w:rPr>
              <w:t>建議修正臺灣加入區域經貿組織的相關論述，應符合現實情況，不宜過於樂觀。</w:t>
            </w:r>
          </w:p>
        </w:tc>
        <w:tc>
          <w:tcPr>
            <w:tcW w:w="4394" w:type="dxa"/>
          </w:tcPr>
          <w:p w:rsidR="004163FA" w:rsidRPr="003F06B2" w:rsidRDefault="004163FA" w:rsidP="00B014B3">
            <w:pPr>
              <w:snapToGrid w:val="0"/>
              <w:jc w:val="both"/>
              <w:rPr>
                <w:rFonts w:eastAsia="標楷體"/>
              </w:rPr>
            </w:pPr>
            <w:r>
              <w:rPr>
                <w:rFonts w:eastAsia="標楷體" w:hint="eastAsia"/>
              </w:rPr>
              <w:t>已按審查意見修正相關論述。</w:t>
            </w:r>
          </w:p>
        </w:tc>
      </w:tr>
    </w:tbl>
    <w:p w:rsidR="00D955B5" w:rsidRPr="004163FA" w:rsidRDefault="00D955B5" w:rsidP="00D955B5">
      <w:pPr>
        <w:spacing w:line="440" w:lineRule="exact"/>
        <w:ind w:rightChars="-101" w:right="-242"/>
        <w:rPr>
          <w:rFonts w:eastAsia="標楷體"/>
        </w:rPr>
      </w:pPr>
    </w:p>
    <w:p w:rsidR="008D6B31" w:rsidRPr="00603481" w:rsidRDefault="008D6B31" w:rsidP="008D6B31">
      <w:pPr>
        <w:spacing w:line="440" w:lineRule="exact"/>
        <w:ind w:rightChars="-101" w:right="-242"/>
        <w:rPr>
          <w:rFonts w:eastAsia="標楷體"/>
        </w:rPr>
      </w:pPr>
    </w:p>
    <w:p w:rsidR="008208DA" w:rsidRPr="008D6B31" w:rsidRDefault="008208DA" w:rsidP="008208DA">
      <w:pPr>
        <w:spacing w:line="440" w:lineRule="exact"/>
        <w:ind w:rightChars="-101" w:right="-242"/>
        <w:rPr>
          <w:rFonts w:eastAsia="標楷體"/>
        </w:rPr>
      </w:pPr>
    </w:p>
    <w:sectPr w:rsidR="008208DA" w:rsidRPr="008D6B31" w:rsidSect="00510EC9">
      <w:type w:val="oddPag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EB3" w:rsidRDefault="00E74EB3">
      <w:r>
        <w:separator/>
      </w:r>
    </w:p>
  </w:endnote>
  <w:endnote w:type="continuationSeparator" w:id="0">
    <w:p w:rsidR="00E74EB3" w:rsidRDefault="00E74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Calibri">
    <w:panose1 w:val="020F0502020204030204"/>
    <w:charset w:val="00"/>
    <w:family w:val="swiss"/>
    <w:pitch w:val="variable"/>
    <w:sig w:usb0="E00002FF" w:usb1="4000ACFF" w:usb2="00000001" w:usb3="00000000" w:csb0="0000019F" w:csb1="00000000"/>
  </w:font>
  <w:font w:name="文鼎中楷">
    <w:altName w:val="細明體"/>
    <w:charset w:val="88"/>
    <w:family w:val="modern"/>
    <w:pitch w:val="fixed"/>
    <w:sig w:usb0="800002A3" w:usb1="38CF7C70" w:usb2="00000016" w:usb3="00000000" w:csb0="00100000" w:csb1="00000000"/>
  </w:font>
  <w:font w:name="文鼎標準楷體">
    <w:altName w:val="Arial Unicode MS"/>
    <w:charset w:val="88"/>
    <w:family w:val="modern"/>
    <w:pitch w:val="fixed"/>
    <w:sig w:usb0="00000000" w:usb1="38CF7C7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5" w:rsidRDefault="005F5D55" w:rsidP="007F31F6">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5F5D55" w:rsidRDefault="005F5D5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5" w:rsidRDefault="005F5D55" w:rsidP="00775D73">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C3257">
      <w:rPr>
        <w:rStyle w:val="ad"/>
        <w:noProof/>
      </w:rPr>
      <w:t>V</w:t>
    </w:r>
    <w:r>
      <w:rPr>
        <w:rStyle w:val="ad"/>
      </w:rPr>
      <w:fldChar w:fldCharType="end"/>
    </w:r>
  </w:p>
  <w:p w:rsidR="005F5D55" w:rsidRDefault="005F5D55" w:rsidP="007F31F6">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5" w:rsidRDefault="005F5D55" w:rsidP="00775D73">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C3257">
      <w:rPr>
        <w:rStyle w:val="ad"/>
        <w:noProof/>
      </w:rPr>
      <w:t>164</w:t>
    </w:r>
    <w:r>
      <w:rPr>
        <w:rStyle w:val="ad"/>
      </w:rPr>
      <w:fldChar w:fldCharType="end"/>
    </w:r>
  </w:p>
  <w:p w:rsidR="005F5D55" w:rsidRDefault="005F5D55" w:rsidP="007F31F6">
    <w:pPr>
      <w:pStyle w:val="ab"/>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5" w:rsidRDefault="005F5D55" w:rsidP="00775D73">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C3257">
      <w:rPr>
        <w:rStyle w:val="ad"/>
        <w:noProof/>
      </w:rPr>
      <w:t>171</w:t>
    </w:r>
    <w:r>
      <w:rPr>
        <w:rStyle w:val="ad"/>
      </w:rPr>
      <w:fldChar w:fldCharType="end"/>
    </w:r>
  </w:p>
  <w:p w:rsidR="005F5D55" w:rsidRDefault="005F5D55" w:rsidP="007F31F6">
    <w:pPr>
      <w:pStyle w:val="ab"/>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5" w:rsidRDefault="005F5D55" w:rsidP="00775D73">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C3257">
      <w:rPr>
        <w:rStyle w:val="ad"/>
        <w:noProof/>
      </w:rPr>
      <w:t>178</w:t>
    </w:r>
    <w:r>
      <w:rPr>
        <w:rStyle w:val="ad"/>
      </w:rPr>
      <w:fldChar w:fldCharType="end"/>
    </w:r>
  </w:p>
  <w:p w:rsidR="005F5D55" w:rsidRDefault="005F5D55" w:rsidP="007F31F6">
    <w:pPr>
      <w:pStyle w:val="ab"/>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5" w:rsidRDefault="005F5D55" w:rsidP="00775D73">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C3257">
      <w:rPr>
        <w:rStyle w:val="ad"/>
        <w:noProof/>
      </w:rPr>
      <w:t>184</w:t>
    </w:r>
    <w:r>
      <w:rPr>
        <w:rStyle w:val="ad"/>
      </w:rPr>
      <w:fldChar w:fldCharType="end"/>
    </w:r>
  </w:p>
  <w:p w:rsidR="005F5D55" w:rsidRDefault="005F5D55" w:rsidP="007F31F6">
    <w:pPr>
      <w:pStyle w:val="ab"/>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5" w:rsidRDefault="005F5D55" w:rsidP="00775D73">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C3257">
      <w:rPr>
        <w:rStyle w:val="ad"/>
        <w:noProof/>
      </w:rPr>
      <w:t>196</w:t>
    </w:r>
    <w:r>
      <w:rPr>
        <w:rStyle w:val="ad"/>
      </w:rPr>
      <w:fldChar w:fldCharType="end"/>
    </w:r>
  </w:p>
  <w:p w:rsidR="005F5D55" w:rsidRDefault="005F5D55" w:rsidP="007F31F6">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EB3" w:rsidRDefault="00E74EB3">
      <w:r>
        <w:separator/>
      </w:r>
    </w:p>
  </w:footnote>
  <w:footnote w:type="continuationSeparator" w:id="0">
    <w:p w:rsidR="00E74EB3" w:rsidRDefault="00E74EB3">
      <w:r>
        <w:continuationSeparator/>
      </w:r>
    </w:p>
  </w:footnote>
  <w:footnote w:id="1">
    <w:p w:rsidR="005F5D55" w:rsidRPr="00962851" w:rsidRDefault="005F5D55">
      <w:pPr>
        <w:pStyle w:val="afe"/>
        <w:rPr>
          <w:rFonts w:ascii="標楷體" w:eastAsia="標楷體" w:hAnsi="標楷體"/>
        </w:rPr>
      </w:pPr>
      <w:r w:rsidRPr="00962851">
        <w:rPr>
          <w:rStyle w:val="aff0"/>
          <w:rFonts w:ascii="標楷體" w:eastAsia="標楷體" w:hAnsi="標楷體"/>
        </w:rPr>
        <w:footnoteRef/>
      </w:r>
      <w:r w:rsidRPr="00962851">
        <w:rPr>
          <w:rFonts w:ascii="標楷體" w:eastAsia="標楷體" w:hAnsi="標楷體"/>
        </w:rPr>
        <w:t xml:space="preserve"> </w:t>
      </w:r>
      <w:r w:rsidRPr="00962851">
        <w:rPr>
          <w:rFonts w:ascii="標楷體" w:eastAsia="標楷體" w:hAnsi="標楷體" w:hint="eastAsia"/>
        </w:rPr>
        <w:t>十八大</w:t>
      </w:r>
      <w:r>
        <w:rPr>
          <w:rFonts w:ascii="標楷體" w:eastAsia="標楷體" w:hAnsi="標楷體" w:hint="eastAsia"/>
        </w:rPr>
        <w:t>確立將生態文明列入中國特色社會主義事業總體布局，形成五位一體</w:t>
      </w:r>
      <w:r w:rsidRPr="00962851">
        <w:rPr>
          <w:rFonts w:ascii="標楷體" w:eastAsia="標楷體" w:hAnsi="標楷體" w:hint="eastAsia"/>
        </w:rPr>
        <w:t>（經濟、政治、文化、社會、生態文明）</w:t>
      </w:r>
      <w:r>
        <w:rPr>
          <w:rFonts w:ascii="標楷體" w:eastAsia="標楷體" w:hAnsi="標楷體" w:hint="eastAsia"/>
        </w:rPr>
        <w:t>。</w:t>
      </w:r>
    </w:p>
  </w:footnote>
  <w:footnote w:id="2">
    <w:p w:rsidR="005F5D55" w:rsidRPr="003F07BD" w:rsidRDefault="005F5D55" w:rsidP="00C47671">
      <w:pPr>
        <w:pStyle w:val="afe"/>
        <w:rPr>
          <w:rFonts w:ascii="標楷體" w:eastAsia="標楷體" w:hAnsi="標楷體"/>
          <w:lang w:eastAsia="zh-TW"/>
        </w:rPr>
      </w:pPr>
      <w:r w:rsidRPr="003F07BD">
        <w:rPr>
          <w:rStyle w:val="aff0"/>
          <w:rFonts w:ascii="標楷體" w:eastAsia="標楷體" w:hAnsi="標楷體"/>
        </w:rPr>
        <w:footnoteRef/>
      </w:r>
      <w:r w:rsidRPr="003F07BD">
        <w:rPr>
          <w:rFonts w:ascii="標楷體" w:eastAsia="標楷體" w:hAnsi="標楷體" w:hint="eastAsia"/>
          <w:lang w:eastAsia="zh-TW"/>
        </w:rPr>
        <w:t xml:space="preserve"> 京華時報，「</w:t>
      </w:r>
      <w:r>
        <w:rPr>
          <w:rFonts w:ascii="標楷體" w:eastAsia="標楷體" w:hAnsi="標楷體" w:hint="eastAsia"/>
          <w:lang w:eastAsia="zh-TW"/>
        </w:rPr>
        <w:t>習</w:t>
      </w:r>
      <w:r w:rsidRPr="003F07BD">
        <w:rPr>
          <w:rFonts w:ascii="標楷體" w:eastAsia="標楷體" w:hAnsi="標楷體" w:hint="eastAsia"/>
        </w:rPr>
        <w:t>近平</w:t>
      </w:r>
      <w:r w:rsidRPr="003F07BD">
        <w:rPr>
          <w:rFonts w:ascii="標楷體" w:eastAsia="標楷體" w:hAnsi="標楷體" w:hint="eastAsia"/>
          <w:lang w:eastAsia="zh-TW"/>
        </w:rPr>
        <w:t>：</w:t>
      </w:r>
      <w:r>
        <w:rPr>
          <w:rFonts w:ascii="標楷體" w:eastAsia="標楷體" w:hAnsi="標楷體" w:hint="eastAsia"/>
          <w:lang w:eastAsia="zh-TW"/>
        </w:rPr>
        <w:t>幹</w:t>
      </w:r>
      <w:r w:rsidRPr="003F07BD">
        <w:rPr>
          <w:rFonts w:ascii="標楷體" w:eastAsia="標楷體" w:hAnsi="標楷體" w:hint="eastAsia"/>
        </w:rPr>
        <w:t>部考核再也不能</w:t>
      </w:r>
      <w:r>
        <w:rPr>
          <w:rFonts w:ascii="標楷體" w:eastAsia="標楷體" w:hAnsi="標楷體" w:hint="eastAsia"/>
          <w:lang w:eastAsia="zh-TW"/>
        </w:rPr>
        <w:t>簡單</w:t>
      </w:r>
      <w:r w:rsidRPr="003F07BD">
        <w:rPr>
          <w:rFonts w:ascii="標楷體" w:eastAsia="標楷體" w:hAnsi="標楷體" w:hint="eastAsia"/>
        </w:rPr>
        <w:t>以</w:t>
      </w:r>
      <w:r w:rsidRPr="003F07BD">
        <w:rPr>
          <w:rFonts w:ascii="標楷體" w:eastAsia="標楷體" w:hAnsi="標楷體"/>
        </w:rPr>
        <w:t>GDP</w:t>
      </w:r>
      <w:r>
        <w:rPr>
          <w:rFonts w:ascii="標楷體" w:eastAsia="標楷體" w:hAnsi="標楷體" w:hint="eastAsia"/>
          <w:lang w:eastAsia="zh-TW"/>
        </w:rPr>
        <w:t>論</w:t>
      </w:r>
      <w:r w:rsidRPr="003F07BD">
        <w:rPr>
          <w:rFonts w:ascii="標楷體" w:eastAsia="標楷體" w:hAnsi="標楷體" w:hint="eastAsia"/>
        </w:rPr>
        <w:t>英雄</w:t>
      </w:r>
      <w:r w:rsidRPr="003F07BD">
        <w:rPr>
          <w:rFonts w:ascii="標楷體" w:eastAsia="標楷體" w:hAnsi="標楷體" w:hint="eastAsia"/>
          <w:lang w:eastAsia="zh-TW"/>
        </w:rPr>
        <w:t>」，2013年6月30日。</w:t>
      </w:r>
    </w:p>
  </w:footnote>
  <w:footnote w:id="3">
    <w:p w:rsidR="005F5D55" w:rsidRDefault="005F5D55" w:rsidP="00C47671">
      <w:pPr>
        <w:pStyle w:val="afe"/>
        <w:rPr>
          <w:rFonts w:ascii="Calibri" w:hAnsi="Calibri"/>
        </w:rPr>
      </w:pPr>
      <w:r>
        <w:rPr>
          <w:rStyle w:val="aff0"/>
        </w:rPr>
        <w:footnoteRef/>
      </w:r>
      <w:r>
        <w:t xml:space="preserve"> </w:t>
      </w:r>
      <w:r>
        <w:rPr>
          <w:rFonts w:ascii="標楷體" w:eastAsia="標楷體" w:hAnsi="標楷體" w:hint="eastAsia"/>
        </w:rPr>
        <w:t>工商時報，「從臺商角度看大陸『十三五規劃』」，2014年10月4日。</w:t>
      </w:r>
    </w:p>
  </w:footnote>
  <w:footnote w:id="4">
    <w:p w:rsidR="005F5D55" w:rsidRDefault="005F5D55" w:rsidP="00AA067C">
      <w:pPr>
        <w:pStyle w:val="afe"/>
      </w:pPr>
      <w:r>
        <w:rPr>
          <w:rStyle w:val="aff0"/>
        </w:rPr>
        <w:footnoteRef/>
      </w:r>
      <w:r>
        <w:t xml:space="preserve"> </w:t>
      </w:r>
      <w:r>
        <w:rPr>
          <w:rFonts w:ascii="標楷體" w:eastAsia="標楷體" w:hAnsi="標楷體" w:hint="eastAsia"/>
        </w:rPr>
        <w:t>來源同前一引述。</w:t>
      </w:r>
    </w:p>
  </w:footnote>
  <w:footnote w:id="5">
    <w:p w:rsidR="005F5D55" w:rsidRDefault="005F5D55" w:rsidP="00AA067C">
      <w:pPr>
        <w:pStyle w:val="afe"/>
      </w:pPr>
      <w:r>
        <w:rPr>
          <w:rStyle w:val="aff0"/>
        </w:rPr>
        <w:footnoteRef/>
      </w:r>
      <w:r>
        <w:t xml:space="preserve"> </w:t>
      </w:r>
      <w:r>
        <w:rPr>
          <w:rFonts w:ascii="標楷體" w:eastAsia="標楷體" w:hAnsi="標楷體" w:hint="eastAsia"/>
        </w:rPr>
        <w:t>財經網，「十三五規劃比過去將有很大不同」，2014年9月25日。</w:t>
      </w:r>
    </w:p>
  </w:footnote>
  <w:footnote w:id="6">
    <w:p w:rsidR="005F5D55" w:rsidRPr="00EE24EE" w:rsidRDefault="005F5D55" w:rsidP="00C47671">
      <w:pPr>
        <w:pStyle w:val="afe"/>
        <w:rPr>
          <w:lang w:eastAsia="zh-TW"/>
        </w:rPr>
      </w:pPr>
      <w:r>
        <w:rPr>
          <w:rStyle w:val="aff0"/>
        </w:rPr>
        <w:footnoteRef/>
      </w:r>
      <w:r>
        <w:t xml:space="preserve"> </w:t>
      </w:r>
      <w:r w:rsidRPr="00F468EE">
        <w:rPr>
          <w:rFonts w:ascii="標楷體" w:eastAsia="標楷體" w:hAnsi="標楷體" w:hint="eastAsia"/>
          <w:lang w:eastAsia="zh-TW"/>
        </w:rPr>
        <w:t>路透中文網，「李克強：城鎮化是中國經濟增長的巨大引擎」，2012年11月21日。</w:t>
      </w:r>
    </w:p>
  </w:footnote>
  <w:footnote w:id="7">
    <w:p w:rsidR="005F5D55" w:rsidRDefault="005F5D55" w:rsidP="00C47671">
      <w:pPr>
        <w:pStyle w:val="afe"/>
      </w:pPr>
      <w:r>
        <w:rPr>
          <w:rStyle w:val="aff0"/>
        </w:rPr>
        <w:footnoteRef/>
      </w:r>
      <w:r>
        <w:rPr>
          <w:rFonts w:ascii="標楷體" w:eastAsia="標楷體" w:hAnsi="標楷體" w:cs="Arial" w:hint="eastAsia"/>
          <w:shd w:val="clear" w:color="auto" w:fill="FFFFFF"/>
          <w:lang w:eastAsia="zh-TW"/>
        </w:rPr>
        <w:t xml:space="preserve"> </w:t>
      </w:r>
      <w:r w:rsidRPr="00923286">
        <w:rPr>
          <w:rFonts w:ascii="標楷體" w:eastAsia="標楷體" w:hAnsi="標楷體" w:cs="Arial" w:hint="eastAsia"/>
          <w:shd w:val="clear" w:color="auto" w:fill="FFFFFF"/>
        </w:rPr>
        <w:t>中國網，「國務院：儘快將營改增試點擴至服務業全領域」，</w:t>
      </w:r>
      <w:smartTag w:uri="urn:schemas-microsoft-com:office:smarttags" w:element="chsdate">
        <w:smartTagPr>
          <w:attr w:name="Year" w:val="2014"/>
          <w:attr w:name="Month" w:val="8"/>
          <w:attr w:name="Day" w:val="6"/>
          <w:attr w:name="IsLunarDate" w:val="False"/>
          <w:attr w:name="IsROCDate" w:val="False"/>
        </w:smartTagPr>
        <w:r w:rsidRPr="00923286">
          <w:rPr>
            <w:rFonts w:ascii="標楷體" w:eastAsia="標楷體" w:hAnsi="標楷體" w:cs="Arial"/>
            <w:shd w:val="clear" w:color="auto" w:fill="FFFFFF"/>
          </w:rPr>
          <w:t>2014</w:t>
        </w:r>
        <w:r>
          <w:rPr>
            <w:rFonts w:ascii="標楷體" w:eastAsia="標楷體" w:hAnsi="標楷體" w:cs="Arial" w:hint="eastAsia"/>
            <w:shd w:val="clear" w:color="auto" w:fill="FFFFFF"/>
          </w:rPr>
          <w:t>年</w:t>
        </w:r>
        <w:r w:rsidRPr="00923286">
          <w:rPr>
            <w:rFonts w:ascii="標楷體" w:eastAsia="標楷體" w:hAnsi="標楷體" w:cs="Arial"/>
            <w:shd w:val="clear" w:color="auto" w:fill="FFFFFF"/>
          </w:rPr>
          <w:t>8</w:t>
        </w:r>
        <w:r>
          <w:rPr>
            <w:rFonts w:ascii="標楷體" w:eastAsia="標楷體" w:hAnsi="標楷體" w:cs="Arial" w:hint="eastAsia"/>
            <w:shd w:val="clear" w:color="auto" w:fill="FFFFFF"/>
          </w:rPr>
          <w:t>月</w:t>
        </w:r>
        <w:r w:rsidRPr="00923286">
          <w:rPr>
            <w:rFonts w:ascii="標楷體" w:eastAsia="標楷體" w:hAnsi="標楷體" w:cs="Arial"/>
            <w:shd w:val="clear" w:color="auto" w:fill="FFFFFF"/>
          </w:rPr>
          <w:t>6</w:t>
        </w:r>
        <w:r>
          <w:rPr>
            <w:rFonts w:ascii="標楷體" w:eastAsia="標楷體" w:hAnsi="標楷體" w:cs="Arial" w:hint="eastAsia"/>
            <w:shd w:val="clear" w:color="auto" w:fill="FFFFFF"/>
          </w:rPr>
          <w:t>日</w:t>
        </w:r>
      </w:smartTag>
      <w:r>
        <w:rPr>
          <w:rFonts w:ascii="標楷體" w:eastAsia="標楷體" w:hAnsi="標楷體" w:cs="Arial" w:hint="eastAsia"/>
          <w:shd w:val="clear" w:color="auto" w:fill="FFFFFF"/>
          <w:lang w:eastAsia="zh-TW"/>
        </w:rPr>
        <w:t>。</w:t>
      </w:r>
    </w:p>
  </w:footnote>
  <w:footnote w:id="8">
    <w:p w:rsidR="005F5D55" w:rsidRDefault="005F5D55" w:rsidP="00C47671">
      <w:pPr>
        <w:pStyle w:val="afe"/>
      </w:pPr>
      <w:r w:rsidRPr="00097261">
        <w:rPr>
          <w:rStyle w:val="aff0"/>
          <w:rFonts w:ascii="標楷體" w:eastAsia="標楷體" w:hAnsi="標楷體"/>
        </w:rPr>
        <w:footnoteRef/>
      </w:r>
      <w:r w:rsidRPr="00097261">
        <w:rPr>
          <w:rFonts w:ascii="標楷體" w:eastAsia="標楷體" w:hAnsi="標楷體"/>
        </w:rPr>
        <w:t xml:space="preserve"> </w:t>
      </w:r>
      <w:r w:rsidRPr="00097261">
        <w:rPr>
          <w:rFonts w:ascii="標楷體" w:eastAsia="標楷體" w:hAnsi="標楷體" w:hint="eastAsia"/>
        </w:rPr>
        <w:t>新浪網，「國務院三大創新補生產性服務業短板」，</w:t>
      </w:r>
      <w:smartTag w:uri="urn:schemas-microsoft-com:office:smarttags" w:element="chsdate">
        <w:smartTagPr>
          <w:attr w:name="Year" w:val="2014"/>
          <w:attr w:name="Month" w:val="5"/>
          <w:attr w:name="Day" w:val="16"/>
          <w:attr w:name="IsLunarDate" w:val="False"/>
          <w:attr w:name="IsROCDate" w:val="False"/>
        </w:smartTagPr>
        <w:r w:rsidRPr="00097261">
          <w:rPr>
            <w:rFonts w:ascii="標楷體" w:eastAsia="標楷體" w:hAnsi="標楷體"/>
          </w:rPr>
          <w:t>2014</w:t>
        </w:r>
        <w:r w:rsidRPr="00097261">
          <w:rPr>
            <w:rFonts w:ascii="標楷體" w:eastAsia="標楷體" w:hAnsi="標楷體" w:hint="eastAsia"/>
          </w:rPr>
          <w:t>年</w:t>
        </w:r>
        <w:r w:rsidRPr="00097261">
          <w:rPr>
            <w:rFonts w:ascii="標楷體" w:eastAsia="標楷體" w:hAnsi="標楷體"/>
          </w:rPr>
          <w:t>5</w:t>
        </w:r>
        <w:r w:rsidRPr="00097261">
          <w:rPr>
            <w:rFonts w:ascii="標楷體" w:eastAsia="標楷體" w:hAnsi="標楷體" w:hint="eastAsia"/>
          </w:rPr>
          <w:t>月</w:t>
        </w:r>
        <w:r w:rsidRPr="00097261">
          <w:rPr>
            <w:rFonts w:ascii="標楷體" w:eastAsia="標楷體" w:hAnsi="標楷體"/>
          </w:rPr>
          <w:t>16</w:t>
        </w:r>
        <w:r w:rsidRPr="00097261">
          <w:rPr>
            <w:rFonts w:ascii="標楷體" w:eastAsia="標楷體" w:hAnsi="標楷體" w:hint="eastAsia"/>
          </w:rPr>
          <w:t>日</w:t>
        </w:r>
      </w:smartTag>
      <w:r>
        <w:rPr>
          <w:rFonts w:ascii="標楷體" w:eastAsia="標楷體" w:hAnsi="標楷體" w:hint="eastAsia"/>
          <w:lang w:eastAsia="zh-TW"/>
        </w:rPr>
        <w:t>。</w:t>
      </w:r>
    </w:p>
  </w:footnote>
  <w:footnote w:id="9">
    <w:p w:rsidR="005F5D55" w:rsidRPr="00057AA9" w:rsidRDefault="005F5D55" w:rsidP="00C47671">
      <w:pPr>
        <w:pStyle w:val="afe"/>
        <w:rPr>
          <w:lang w:eastAsia="zh-TW"/>
        </w:rPr>
      </w:pPr>
      <w:r w:rsidRPr="00C47671">
        <w:rPr>
          <w:rStyle w:val="aff0"/>
          <w:rFonts w:ascii="標楷體" w:eastAsia="標楷體" w:hAnsi="標楷體"/>
        </w:rPr>
        <w:footnoteRef/>
      </w:r>
      <w:r w:rsidRPr="00C47671">
        <w:rPr>
          <w:rFonts w:ascii="標楷體" w:eastAsia="標楷體" w:hAnsi="標楷體"/>
        </w:rPr>
        <w:t xml:space="preserve"> </w:t>
      </w:r>
      <w:r w:rsidRPr="00057AA9">
        <w:rPr>
          <w:rFonts w:ascii="標楷體" w:eastAsia="標楷體" w:hAnsi="標楷體" w:hint="eastAsia"/>
        </w:rPr>
        <w:t>「鑒</w:t>
      </w:r>
      <w:r>
        <w:rPr>
          <w:rFonts w:ascii="標楷體" w:eastAsia="標楷體" w:hAnsi="標楷體" w:hint="eastAsia"/>
        </w:rPr>
        <w:t>證</w:t>
      </w:r>
      <w:r w:rsidRPr="00057AA9">
        <w:rPr>
          <w:rFonts w:ascii="標楷體" w:eastAsia="標楷體" w:hAnsi="標楷體" w:hint="eastAsia"/>
        </w:rPr>
        <w:t>」在我國又可稱為「鑑證」，為在實務上有具公信力之人，為某一項商品之交易契約，行「事前之鑑驗」。</w:t>
      </w:r>
    </w:p>
  </w:footnote>
  <w:footnote w:id="10">
    <w:p w:rsidR="00632072" w:rsidRDefault="00632072" w:rsidP="00632072">
      <w:pPr>
        <w:pStyle w:val="afe"/>
      </w:pPr>
      <w:r w:rsidRPr="00D63A15">
        <w:rPr>
          <w:rStyle w:val="aff0"/>
          <w:rFonts w:ascii="標楷體" w:eastAsia="標楷體" w:hAnsi="標楷體"/>
        </w:rPr>
        <w:footnoteRef/>
      </w:r>
      <w:r w:rsidRPr="00D63A15">
        <w:rPr>
          <w:rFonts w:ascii="標楷體" w:eastAsia="標楷體" w:hAnsi="標楷體"/>
        </w:rPr>
        <w:t xml:space="preserve"> </w:t>
      </w:r>
      <w:r w:rsidRPr="00D63A15">
        <w:rPr>
          <w:rFonts w:ascii="標楷體" w:eastAsia="標楷體" w:hAnsi="標楷體" w:hint="eastAsia"/>
        </w:rPr>
        <w:t>關於減稅規模與比例來自中國</w:t>
      </w:r>
      <w:r>
        <w:rPr>
          <w:rFonts w:ascii="標楷體" w:eastAsia="標楷體" w:hAnsi="標楷體" w:hint="eastAsia"/>
          <w:lang w:eastAsia="zh-TW"/>
        </w:rPr>
        <w:t>大陸</w:t>
      </w:r>
      <w:r w:rsidRPr="00D63A15">
        <w:rPr>
          <w:rFonts w:ascii="標楷體" w:eastAsia="標楷體" w:hAnsi="標楷體" w:hint="eastAsia"/>
        </w:rPr>
        <w:t>稅務總局</w:t>
      </w:r>
      <w:smartTag w:uri="urn:schemas-microsoft-com:office:smarttags" w:element="chsdate">
        <w:smartTagPr>
          <w:attr w:name="Year" w:val="2014"/>
          <w:attr w:name="Month" w:val="7"/>
          <w:attr w:name="Day" w:val="25"/>
          <w:attr w:name="IsLunarDate" w:val="False"/>
          <w:attr w:name="IsROCDate" w:val="False"/>
        </w:smartTagPr>
        <w:r>
          <w:rPr>
            <w:rFonts w:ascii="標楷體" w:eastAsia="標楷體" w:hAnsi="標楷體"/>
          </w:rPr>
          <w:t>2014</w:t>
        </w:r>
        <w:r>
          <w:rPr>
            <w:rFonts w:ascii="標楷體" w:eastAsia="標楷體" w:hAnsi="標楷體" w:hint="eastAsia"/>
          </w:rPr>
          <w:t>年</w:t>
        </w:r>
        <w:r w:rsidRPr="00D63A15">
          <w:rPr>
            <w:rFonts w:ascii="標楷體" w:eastAsia="標楷體" w:hAnsi="標楷體"/>
          </w:rPr>
          <w:t>7</w:t>
        </w:r>
        <w:r>
          <w:rPr>
            <w:rFonts w:ascii="標楷體" w:eastAsia="標楷體" w:hAnsi="標楷體" w:hint="eastAsia"/>
          </w:rPr>
          <w:t>月</w:t>
        </w:r>
        <w:r w:rsidRPr="00D63A15">
          <w:rPr>
            <w:rFonts w:ascii="標楷體" w:eastAsia="標楷體" w:hAnsi="標楷體"/>
          </w:rPr>
          <w:t>25</w:t>
        </w:r>
        <w:r>
          <w:rPr>
            <w:rFonts w:ascii="標楷體" w:eastAsia="標楷體" w:hAnsi="標楷體" w:hint="eastAsia"/>
          </w:rPr>
          <w:t>日</w:t>
        </w:r>
      </w:smartTag>
      <w:r w:rsidRPr="00D63A15">
        <w:rPr>
          <w:rFonts w:ascii="標楷體" w:eastAsia="標楷體" w:hAnsi="標楷體" w:hint="eastAsia"/>
        </w:rPr>
        <w:t>之新聞通知。</w:t>
      </w:r>
    </w:p>
  </w:footnote>
  <w:footnote w:id="11">
    <w:p w:rsidR="005F5D55" w:rsidRDefault="005F5D55" w:rsidP="00C47671">
      <w:pPr>
        <w:pStyle w:val="afe"/>
      </w:pPr>
      <w:r w:rsidRPr="00A51EA9">
        <w:rPr>
          <w:rStyle w:val="aff0"/>
          <w:rFonts w:ascii="標楷體" w:eastAsia="標楷體" w:hAnsi="標楷體"/>
        </w:rPr>
        <w:footnoteRef/>
      </w:r>
      <w:r w:rsidRPr="00A51EA9">
        <w:rPr>
          <w:rFonts w:ascii="標楷體" w:eastAsia="標楷體" w:hAnsi="標楷體"/>
        </w:rPr>
        <w:t xml:space="preserve"> </w:t>
      </w:r>
      <w:r w:rsidRPr="00A51EA9">
        <w:rPr>
          <w:rFonts w:ascii="標楷體" w:eastAsia="標楷體" w:hAnsi="標楷體" w:hint="eastAsia"/>
        </w:rPr>
        <w:t>資料來源</w:t>
      </w:r>
      <w:r w:rsidRPr="00A51EA9">
        <w:rPr>
          <w:rFonts w:ascii="標楷體" w:eastAsia="標楷體" w:hAnsi="標楷體"/>
        </w:rPr>
        <w:t>:</w:t>
      </w:r>
      <w:r w:rsidRPr="00A51EA9">
        <w:rPr>
          <w:rFonts w:ascii="標楷體" w:eastAsia="標楷體" w:hAnsi="標楷體" w:hint="eastAsia"/>
        </w:rPr>
        <w:t>新浪網，「部分企業稅負不降反升，營改增亟需抵扣實操指引」，</w:t>
      </w:r>
      <w:smartTag w:uri="urn:schemas-microsoft-com:office:smarttags" w:element="chsdate">
        <w:smartTagPr>
          <w:attr w:name="Year" w:val="2014"/>
          <w:attr w:name="Month" w:val="9"/>
          <w:attr w:name="Day" w:val="9"/>
          <w:attr w:name="IsLunarDate" w:val="False"/>
          <w:attr w:name="IsROCDate" w:val="False"/>
        </w:smartTagPr>
        <w:r w:rsidRPr="00A51EA9">
          <w:rPr>
            <w:rFonts w:ascii="標楷體" w:eastAsia="標楷體" w:hAnsi="標楷體"/>
          </w:rPr>
          <w:t>2014</w:t>
        </w:r>
        <w:r w:rsidRPr="00A51EA9">
          <w:rPr>
            <w:rFonts w:ascii="標楷體" w:eastAsia="標楷體" w:hAnsi="標楷體" w:hint="eastAsia"/>
          </w:rPr>
          <w:t>年</w:t>
        </w:r>
        <w:r w:rsidRPr="00A51EA9">
          <w:rPr>
            <w:rFonts w:ascii="標楷體" w:eastAsia="標楷體" w:hAnsi="標楷體"/>
          </w:rPr>
          <w:t>9</w:t>
        </w:r>
        <w:r w:rsidRPr="00A51EA9">
          <w:rPr>
            <w:rFonts w:ascii="標楷體" w:eastAsia="標楷體" w:hAnsi="標楷體" w:hint="eastAsia"/>
          </w:rPr>
          <w:t>月</w:t>
        </w:r>
        <w:r w:rsidRPr="00A51EA9">
          <w:rPr>
            <w:rFonts w:ascii="標楷體" w:eastAsia="標楷體" w:hAnsi="標楷體"/>
          </w:rPr>
          <w:t>9</w:t>
        </w:r>
        <w:r w:rsidRPr="00A51EA9">
          <w:rPr>
            <w:rFonts w:ascii="標楷體" w:eastAsia="標楷體" w:hAnsi="標楷體" w:hint="eastAsia"/>
          </w:rPr>
          <w:t>日</w:t>
        </w:r>
      </w:smartTag>
      <w:r>
        <w:rPr>
          <w:rFonts w:ascii="標楷體" w:eastAsia="標楷體" w:hAnsi="標楷體" w:hint="eastAsia"/>
          <w:lang w:eastAsia="zh-TW"/>
        </w:rPr>
        <w:t>。</w:t>
      </w:r>
    </w:p>
  </w:footnote>
  <w:footnote w:id="12">
    <w:p w:rsidR="005F5D55" w:rsidRDefault="005F5D55" w:rsidP="00C47671">
      <w:pPr>
        <w:pStyle w:val="afe"/>
      </w:pPr>
      <w:r w:rsidRPr="00A51EA9">
        <w:rPr>
          <w:rStyle w:val="aff0"/>
        </w:rPr>
        <w:footnoteRef/>
      </w:r>
      <w:r>
        <w:rPr>
          <w:rFonts w:ascii="標楷體" w:eastAsia="標楷體" w:hAnsi="標楷體" w:hint="eastAsia"/>
          <w:lang w:eastAsia="zh-TW"/>
        </w:rPr>
        <w:t xml:space="preserve"> </w:t>
      </w:r>
      <w:r w:rsidRPr="00A51EA9">
        <w:rPr>
          <w:rFonts w:ascii="標楷體" w:eastAsia="標楷體" w:hAnsi="標楷體" w:hint="eastAsia"/>
        </w:rPr>
        <w:t>資料來源</w:t>
      </w:r>
      <w:r w:rsidRPr="00A51EA9">
        <w:rPr>
          <w:rFonts w:ascii="標楷體" w:eastAsia="標楷體" w:hAnsi="標楷體"/>
        </w:rPr>
        <w:t>:</w:t>
      </w:r>
      <w:r w:rsidRPr="00A51EA9">
        <w:rPr>
          <w:rFonts w:ascii="標楷體" w:eastAsia="標楷體" w:hAnsi="標楷體" w:hint="eastAsia"/>
        </w:rPr>
        <w:t>北京新浪網，「營改增倒逼電信業經營模式加快轉型」，</w:t>
      </w:r>
      <w:smartTag w:uri="urn:schemas-microsoft-com:office:smarttags" w:element="chsdate">
        <w:smartTagPr>
          <w:attr w:name="Year" w:val="2014"/>
          <w:attr w:name="Month" w:val="6"/>
          <w:attr w:name="Day" w:val="4"/>
          <w:attr w:name="IsLunarDate" w:val="False"/>
          <w:attr w:name="IsROCDate" w:val="False"/>
        </w:smartTagPr>
        <w:r w:rsidRPr="00A51EA9">
          <w:rPr>
            <w:rFonts w:ascii="標楷體" w:eastAsia="標楷體" w:hAnsi="標楷體"/>
          </w:rPr>
          <w:t>2014</w:t>
        </w:r>
        <w:r w:rsidRPr="00A51EA9">
          <w:rPr>
            <w:rFonts w:ascii="標楷體" w:eastAsia="標楷體" w:hAnsi="標楷體" w:hint="eastAsia"/>
          </w:rPr>
          <w:t>年</w:t>
        </w:r>
        <w:r w:rsidRPr="00A51EA9">
          <w:rPr>
            <w:rFonts w:ascii="標楷體" w:eastAsia="標楷體" w:hAnsi="標楷體"/>
          </w:rPr>
          <w:t>6</w:t>
        </w:r>
        <w:r w:rsidRPr="00A51EA9">
          <w:rPr>
            <w:rFonts w:ascii="標楷體" w:eastAsia="標楷體" w:hAnsi="標楷體" w:hint="eastAsia"/>
          </w:rPr>
          <w:t>月</w:t>
        </w:r>
        <w:r w:rsidRPr="00A51EA9">
          <w:rPr>
            <w:rFonts w:ascii="標楷體" w:eastAsia="標楷體" w:hAnsi="標楷體"/>
          </w:rPr>
          <w:t>4</w:t>
        </w:r>
        <w:r w:rsidRPr="00A51EA9">
          <w:rPr>
            <w:rFonts w:ascii="標楷體" w:eastAsia="標楷體" w:hAnsi="標楷體" w:hint="eastAsia"/>
          </w:rPr>
          <w:t>日</w:t>
        </w:r>
      </w:smartTag>
      <w:r>
        <w:rPr>
          <w:rFonts w:ascii="標楷體" w:eastAsia="標楷體" w:hAnsi="標楷體" w:hint="eastAsia"/>
          <w:lang w:eastAsia="zh-TW"/>
        </w:rPr>
        <w:t>。</w:t>
      </w:r>
    </w:p>
  </w:footnote>
  <w:footnote w:id="13">
    <w:p w:rsidR="005F5D55" w:rsidRPr="00C47671" w:rsidRDefault="005F5D55" w:rsidP="00C47671">
      <w:pPr>
        <w:pStyle w:val="aff3"/>
        <w:ind w:leftChars="0" w:left="0"/>
        <w:rPr>
          <w:rFonts w:ascii="標楷體" w:eastAsia="標楷體" w:hAnsi="標楷體"/>
        </w:rPr>
      </w:pPr>
      <w:r w:rsidRPr="00C47671">
        <w:rPr>
          <w:rStyle w:val="aff0"/>
          <w:rFonts w:ascii="標楷體" w:eastAsia="標楷體" w:hAnsi="標楷體"/>
        </w:rPr>
        <w:footnoteRef/>
      </w:r>
      <w:r w:rsidRPr="00C47671">
        <w:rPr>
          <w:rFonts w:ascii="標楷體" w:eastAsia="標楷體" w:hAnsi="標楷體"/>
          <w:sz w:val="20"/>
          <w:szCs w:val="20"/>
        </w:rPr>
        <w:t xml:space="preserve"> </w:t>
      </w:r>
      <w:r w:rsidRPr="00C47671">
        <w:rPr>
          <w:rFonts w:ascii="標楷體" w:eastAsia="標楷體" w:hAnsi="標楷體" w:hint="eastAsia"/>
          <w:sz w:val="20"/>
          <w:szCs w:val="20"/>
        </w:rPr>
        <w:t>資料來源</w:t>
      </w:r>
      <w:r w:rsidRPr="00C47671">
        <w:rPr>
          <w:rFonts w:ascii="標楷體" w:eastAsia="標楷體" w:hAnsi="標楷體"/>
          <w:sz w:val="20"/>
          <w:szCs w:val="20"/>
        </w:rPr>
        <w:t>:</w:t>
      </w:r>
      <w:r w:rsidRPr="00C47671">
        <w:rPr>
          <w:rFonts w:ascii="標楷體" w:eastAsia="標楷體" w:hAnsi="標楷體" w:hint="eastAsia"/>
          <w:sz w:val="20"/>
          <w:szCs w:val="20"/>
        </w:rPr>
        <w:t>光明日報，「</w:t>
      </w:r>
      <w:r w:rsidRPr="00C47671">
        <w:rPr>
          <w:rFonts w:ascii="標楷體" w:eastAsia="標楷體" w:hAnsi="標楷體" w:hint="eastAsia"/>
          <w:color w:val="333333"/>
          <w:sz w:val="20"/>
          <w:szCs w:val="20"/>
        </w:rPr>
        <w:t>“營改增”邁入“新時代”有望催生全面改革</w:t>
      </w:r>
      <w:r w:rsidRPr="00C47671">
        <w:rPr>
          <w:rFonts w:ascii="標楷體" w:eastAsia="標楷體" w:hAnsi="標楷體" w:hint="eastAsia"/>
          <w:sz w:val="20"/>
          <w:szCs w:val="20"/>
        </w:rPr>
        <w:t>」，</w:t>
      </w:r>
      <w:r w:rsidRPr="00C47671">
        <w:rPr>
          <w:rFonts w:ascii="標楷體" w:eastAsia="標楷體" w:hAnsi="標楷體"/>
          <w:sz w:val="20"/>
          <w:szCs w:val="20"/>
        </w:rPr>
        <w:t>2013</w:t>
      </w:r>
      <w:r w:rsidRPr="00C47671">
        <w:rPr>
          <w:rFonts w:ascii="標楷體" w:eastAsia="標楷體" w:hAnsi="標楷體" w:hint="eastAsia"/>
          <w:sz w:val="20"/>
          <w:szCs w:val="20"/>
        </w:rPr>
        <w:t>年</w:t>
      </w:r>
      <w:r w:rsidRPr="00C47671">
        <w:rPr>
          <w:rFonts w:ascii="標楷體" w:eastAsia="標楷體" w:hAnsi="標楷體"/>
          <w:sz w:val="20"/>
          <w:szCs w:val="20"/>
        </w:rPr>
        <w:t>8</w:t>
      </w:r>
      <w:r w:rsidRPr="00C47671">
        <w:rPr>
          <w:rFonts w:ascii="標楷體" w:eastAsia="標楷體" w:hAnsi="標楷體" w:hint="eastAsia"/>
          <w:sz w:val="20"/>
          <w:szCs w:val="20"/>
        </w:rPr>
        <w:t>月</w:t>
      </w:r>
      <w:r w:rsidRPr="00C47671">
        <w:rPr>
          <w:rFonts w:ascii="標楷體" w:eastAsia="標楷體" w:hAnsi="標楷體"/>
          <w:sz w:val="20"/>
          <w:szCs w:val="20"/>
        </w:rPr>
        <w:t>3</w:t>
      </w:r>
      <w:r w:rsidRPr="00C47671">
        <w:rPr>
          <w:rFonts w:ascii="標楷體" w:eastAsia="標楷體" w:hAnsi="標楷體" w:hint="eastAsia"/>
          <w:sz w:val="20"/>
          <w:szCs w:val="20"/>
        </w:rPr>
        <w:t>日</w:t>
      </w:r>
      <w:r>
        <w:rPr>
          <w:rFonts w:ascii="標楷體" w:eastAsia="標楷體" w:hAnsi="標楷體" w:hint="eastAsia"/>
          <w:sz w:val="20"/>
          <w:szCs w:val="20"/>
        </w:rPr>
        <w:t>。</w:t>
      </w:r>
    </w:p>
  </w:footnote>
  <w:footnote w:id="14">
    <w:p w:rsidR="005F5D55" w:rsidRDefault="005F5D55" w:rsidP="00C47671">
      <w:pPr>
        <w:pStyle w:val="aff3"/>
        <w:ind w:leftChars="0" w:left="0"/>
      </w:pPr>
      <w:r w:rsidRPr="00C47671">
        <w:rPr>
          <w:rStyle w:val="aff0"/>
          <w:rFonts w:ascii="標楷體" w:eastAsia="標楷體" w:hAnsi="標楷體"/>
        </w:rPr>
        <w:footnoteRef/>
      </w:r>
      <w:r w:rsidRPr="00A51EA9">
        <w:rPr>
          <w:rFonts w:ascii="標楷體" w:eastAsia="標楷體" w:hAnsi="標楷體"/>
          <w:sz w:val="20"/>
          <w:szCs w:val="20"/>
        </w:rPr>
        <w:t xml:space="preserve"> </w:t>
      </w:r>
      <w:r w:rsidRPr="00A51EA9">
        <w:rPr>
          <w:rFonts w:ascii="標楷體" w:eastAsia="標楷體" w:hAnsi="標楷體" w:hint="eastAsia"/>
          <w:sz w:val="20"/>
          <w:szCs w:val="20"/>
        </w:rPr>
        <w:t>資料來源</w:t>
      </w:r>
      <w:r w:rsidRPr="00A51EA9">
        <w:rPr>
          <w:rFonts w:ascii="標楷體" w:eastAsia="標楷體" w:hAnsi="標楷體"/>
          <w:sz w:val="20"/>
          <w:szCs w:val="20"/>
        </w:rPr>
        <w:t>:</w:t>
      </w:r>
      <w:r w:rsidRPr="00A51EA9">
        <w:rPr>
          <w:rFonts w:ascii="標楷體" w:eastAsia="標楷體" w:hAnsi="標楷體" w:hint="eastAsia"/>
          <w:sz w:val="20"/>
          <w:szCs w:val="20"/>
        </w:rPr>
        <w:t>人民日報，「</w:t>
      </w:r>
      <w:r w:rsidRPr="00A51EA9">
        <w:rPr>
          <w:rFonts w:ascii="標楷體" w:eastAsia="標楷體" w:hAnsi="標楷體" w:hint="eastAsia"/>
          <w:color w:val="333333"/>
          <w:sz w:val="20"/>
          <w:szCs w:val="20"/>
        </w:rPr>
        <w:t>“營改增”玩轉升級魔方</w:t>
      </w:r>
      <w:r w:rsidRPr="00A51EA9">
        <w:rPr>
          <w:rFonts w:ascii="標楷體" w:eastAsia="標楷體" w:hAnsi="標楷體" w:hint="eastAsia"/>
          <w:sz w:val="20"/>
          <w:szCs w:val="20"/>
        </w:rPr>
        <w:t>」，</w:t>
      </w:r>
      <w:r w:rsidRPr="00A51EA9">
        <w:rPr>
          <w:rFonts w:ascii="標楷體" w:eastAsia="標楷體" w:hAnsi="標楷體"/>
          <w:sz w:val="20"/>
          <w:szCs w:val="20"/>
        </w:rPr>
        <w:t>2013</w:t>
      </w:r>
      <w:r w:rsidRPr="00A51EA9">
        <w:rPr>
          <w:rFonts w:ascii="標楷體" w:eastAsia="標楷體" w:hAnsi="標楷體" w:hint="eastAsia"/>
          <w:sz w:val="20"/>
          <w:szCs w:val="20"/>
        </w:rPr>
        <w:t>年</w:t>
      </w:r>
      <w:r w:rsidRPr="00A51EA9">
        <w:rPr>
          <w:rFonts w:ascii="標楷體" w:eastAsia="標楷體" w:hAnsi="標楷體"/>
          <w:sz w:val="20"/>
          <w:szCs w:val="20"/>
        </w:rPr>
        <w:t>9</w:t>
      </w:r>
      <w:r w:rsidRPr="00A51EA9">
        <w:rPr>
          <w:rFonts w:ascii="標楷體" w:eastAsia="標楷體" w:hAnsi="標楷體" w:hint="eastAsia"/>
          <w:sz w:val="20"/>
          <w:szCs w:val="20"/>
        </w:rPr>
        <w:t>月</w:t>
      </w:r>
      <w:r w:rsidRPr="00A51EA9">
        <w:rPr>
          <w:rFonts w:ascii="標楷體" w:eastAsia="標楷體" w:hAnsi="標楷體"/>
          <w:sz w:val="20"/>
          <w:szCs w:val="20"/>
        </w:rPr>
        <w:t>12</w:t>
      </w:r>
      <w:r w:rsidRPr="00A51EA9">
        <w:rPr>
          <w:rFonts w:ascii="標楷體" w:eastAsia="標楷體" w:hAnsi="標楷體" w:hint="eastAsia"/>
          <w:sz w:val="20"/>
          <w:szCs w:val="20"/>
        </w:rPr>
        <w:t>日</w:t>
      </w:r>
      <w:r>
        <w:rPr>
          <w:rFonts w:ascii="標楷體" w:eastAsia="標楷體" w:hAnsi="標楷體" w:hint="eastAsia"/>
          <w:sz w:val="20"/>
          <w:szCs w:val="20"/>
        </w:rPr>
        <w:t>。</w:t>
      </w:r>
    </w:p>
  </w:footnote>
  <w:footnote w:id="15">
    <w:p w:rsidR="005F5D55" w:rsidRDefault="005F5D55" w:rsidP="00C47671">
      <w:pPr>
        <w:pStyle w:val="afe"/>
      </w:pPr>
      <w:r w:rsidRPr="000B3337">
        <w:rPr>
          <w:rStyle w:val="aff0"/>
          <w:rFonts w:ascii="標楷體" w:eastAsia="標楷體" w:hAnsi="標楷體"/>
        </w:rPr>
        <w:footnoteRef/>
      </w:r>
      <w:r w:rsidRPr="000B3337">
        <w:rPr>
          <w:rFonts w:ascii="標楷體" w:eastAsia="標楷體" w:hAnsi="標楷體"/>
        </w:rPr>
        <w:t xml:space="preserve"> </w:t>
      </w:r>
      <w:r w:rsidRPr="000B3337">
        <w:rPr>
          <w:rFonts w:ascii="標楷體" w:eastAsia="標楷體" w:hAnsi="標楷體" w:hint="eastAsia"/>
        </w:rPr>
        <w:t>青島日報，</w:t>
      </w:r>
      <w:r>
        <w:rPr>
          <w:rFonts w:ascii="標楷體" w:eastAsia="標楷體" w:hAnsi="標楷體" w:hint="eastAsia"/>
        </w:rPr>
        <w:t>「</w:t>
      </w:r>
      <w:r w:rsidRPr="000B3337">
        <w:rPr>
          <w:rFonts w:ascii="標楷體" w:eastAsia="標楷體" w:hAnsi="標楷體" w:hint="eastAsia"/>
        </w:rPr>
        <w:t>青島全市</w:t>
      </w:r>
      <w:r w:rsidRPr="000B3337">
        <w:rPr>
          <w:rFonts w:ascii="標楷體" w:eastAsia="標楷體" w:hAnsi="標楷體"/>
        </w:rPr>
        <w:t>466</w:t>
      </w:r>
      <w:r w:rsidRPr="000B3337">
        <w:rPr>
          <w:rFonts w:ascii="標楷體" w:eastAsia="標楷體" w:hAnsi="標楷體" w:hint="eastAsia"/>
        </w:rPr>
        <w:t>家規模企業完成“主輔分離”</w:t>
      </w:r>
      <w:r w:rsidRPr="000B3337">
        <w:rPr>
          <w:rFonts w:ascii="標楷體" w:eastAsia="標楷體" w:hAnsi="標楷體"/>
        </w:rPr>
        <w:t xml:space="preserve"> </w:t>
      </w:r>
      <w:r w:rsidRPr="000B3337">
        <w:rPr>
          <w:rFonts w:ascii="標楷體" w:eastAsia="標楷體" w:hAnsi="標楷體" w:hint="eastAsia"/>
        </w:rPr>
        <w:t>」，</w:t>
      </w:r>
      <w:r w:rsidRPr="000B3337">
        <w:rPr>
          <w:rFonts w:ascii="標楷體" w:eastAsia="標楷體" w:hAnsi="標楷體"/>
        </w:rPr>
        <w:t>2014</w:t>
      </w:r>
      <w:r w:rsidRPr="000B3337">
        <w:rPr>
          <w:rFonts w:ascii="標楷體" w:eastAsia="標楷體" w:hAnsi="標楷體" w:hint="eastAsia"/>
        </w:rPr>
        <w:t>年</w:t>
      </w:r>
      <w:r w:rsidRPr="000B3337">
        <w:rPr>
          <w:rFonts w:ascii="標楷體" w:eastAsia="標楷體" w:hAnsi="標楷體"/>
        </w:rPr>
        <w:t>10</w:t>
      </w:r>
      <w:r w:rsidRPr="000B3337">
        <w:rPr>
          <w:rFonts w:ascii="標楷體" w:eastAsia="標楷體" w:hAnsi="標楷體" w:hint="eastAsia"/>
        </w:rPr>
        <w:t>月</w:t>
      </w:r>
      <w:r w:rsidRPr="000B3337">
        <w:rPr>
          <w:rFonts w:ascii="標楷體" w:eastAsia="標楷體" w:hAnsi="標楷體"/>
        </w:rPr>
        <w:t>14</w:t>
      </w:r>
      <w:r w:rsidRPr="000B3337">
        <w:rPr>
          <w:rFonts w:ascii="標楷體" w:eastAsia="標楷體" w:hAnsi="標楷體" w:hint="eastAsia"/>
        </w:rPr>
        <w:t>日</w:t>
      </w:r>
      <w:r>
        <w:rPr>
          <w:rFonts w:ascii="標楷體" w:eastAsia="標楷體" w:hAnsi="標楷體" w:hint="eastAsia"/>
          <w:lang w:eastAsia="zh-TW"/>
        </w:rPr>
        <w:t>。</w:t>
      </w:r>
    </w:p>
  </w:footnote>
  <w:footnote w:id="16">
    <w:p w:rsidR="005F5D55" w:rsidRDefault="005F5D55" w:rsidP="006A701C">
      <w:pPr>
        <w:pStyle w:val="afe"/>
      </w:pPr>
      <w:r w:rsidRPr="000B3337">
        <w:rPr>
          <w:rStyle w:val="aff0"/>
          <w:rFonts w:ascii="標楷體" w:eastAsia="標楷體" w:hAnsi="標楷體"/>
        </w:rPr>
        <w:footnoteRef/>
      </w:r>
      <w:r w:rsidRPr="000B3337">
        <w:rPr>
          <w:rFonts w:ascii="標楷體" w:eastAsia="標楷體" w:hAnsi="標楷體"/>
        </w:rPr>
        <w:t xml:space="preserve"> </w:t>
      </w:r>
      <w:r w:rsidRPr="000B3337">
        <w:rPr>
          <w:rFonts w:ascii="標楷體" w:eastAsia="標楷體" w:hAnsi="標楷體" w:hint="eastAsia"/>
        </w:rPr>
        <w:t>濱州傳媒網，「濱州多家企業借力營改增實現主輔分離」，</w:t>
      </w:r>
      <w:r w:rsidRPr="000B3337">
        <w:rPr>
          <w:rFonts w:ascii="標楷體" w:eastAsia="標楷體" w:hAnsi="標楷體"/>
        </w:rPr>
        <w:t>2014</w:t>
      </w:r>
      <w:r w:rsidRPr="000B3337">
        <w:rPr>
          <w:rFonts w:ascii="標楷體" w:eastAsia="標楷體" w:hAnsi="標楷體" w:hint="eastAsia"/>
        </w:rPr>
        <w:t>年</w:t>
      </w:r>
      <w:r w:rsidRPr="000B3337">
        <w:rPr>
          <w:rFonts w:ascii="標楷體" w:eastAsia="標楷體" w:hAnsi="標楷體"/>
        </w:rPr>
        <w:t>4</w:t>
      </w:r>
      <w:r w:rsidRPr="000B3337">
        <w:rPr>
          <w:rFonts w:ascii="標楷體" w:eastAsia="標楷體" w:hAnsi="標楷體" w:hint="eastAsia"/>
        </w:rPr>
        <w:t>月</w:t>
      </w:r>
      <w:r w:rsidRPr="000B3337">
        <w:rPr>
          <w:rFonts w:ascii="標楷體" w:eastAsia="標楷體" w:hAnsi="標楷體"/>
        </w:rPr>
        <w:t>15</w:t>
      </w:r>
      <w:r w:rsidRPr="000B3337">
        <w:rPr>
          <w:rFonts w:ascii="標楷體" w:eastAsia="標楷體" w:hAnsi="標楷體" w:hint="eastAsia"/>
        </w:rPr>
        <w:t>日</w:t>
      </w:r>
      <w:r>
        <w:rPr>
          <w:rFonts w:ascii="標楷體" w:eastAsia="標楷體" w:hAnsi="標楷體" w:hint="eastAsia"/>
          <w:lang w:eastAsia="zh-TW"/>
        </w:rPr>
        <w:t>。</w:t>
      </w:r>
    </w:p>
  </w:footnote>
  <w:footnote w:id="17">
    <w:p w:rsidR="005F5D55" w:rsidRDefault="005F5D55" w:rsidP="006A701C">
      <w:pPr>
        <w:pStyle w:val="afe"/>
      </w:pPr>
      <w:r w:rsidRPr="000B3337">
        <w:rPr>
          <w:rStyle w:val="aff0"/>
          <w:rFonts w:ascii="標楷體" w:eastAsia="標楷體" w:hAnsi="標楷體"/>
        </w:rPr>
        <w:footnoteRef/>
      </w:r>
      <w:r>
        <w:rPr>
          <w:rFonts w:ascii="標楷體" w:eastAsia="標楷體" w:hAnsi="標楷體" w:hint="eastAsia"/>
          <w:lang w:eastAsia="zh-TW"/>
        </w:rPr>
        <w:t xml:space="preserve"> </w:t>
      </w:r>
      <w:r w:rsidRPr="000B3337">
        <w:rPr>
          <w:rFonts w:ascii="標楷體" w:eastAsia="標楷體" w:hAnsi="標楷體" w:hint="eastAsia"/>
        </w:rPr>
        <w:t>中國財經報，「營改增助力製造業走向高端」，</w:t>
      </w:r>
      <w:r w:rsidRPr="000B3337">
        <w:rPr>
          <w:rFonts w:ascii="標楷體" w:eastAsia="標楷體" w:hAnsi="標楷體"/>
        </w:rPr>
        <w:t>2014</w:t>
      </w:r>
      <w:r w:rsidRPr="000B3337">
        <w:rPr>
          <w:rFonts w:ascii="標楷體" w:eastAsia="標楷體" w:hAnsi="標楷體" w:hint="eastAsia"/>
        </w:rPr>
        <w:t>年</w:t>
      </w:r>
      <w:r w:rsidRPr="000B3337">
        <w:rPr>
          <w:rFonts w:ascii="標楷體" w:eastAsia="標楷體" w:hAnsi="標楷體"/>
        </w:rPr>
        <w:t>5</w:t>
      </w:r>
      <w:r w:rsidRPr="000B3337">
        <w:rPr>
          <w:rFonts w:ascii="標楷體" w:eastAsia="標楷體" w:hAnsi="標楷體" w:hint="eastAsia"/>
        </w:rPr>
        <w:t>月</w:t>
      </w:r>
      <w:r w:rsidRPr="000B3337">
        <w:rPr>
          <w:rFonts w:ascii="標楷體" w:eastAsia="標楷體" w:hAnsi="標楷體"/>
        </w:rPr>
        <w:t>12</w:t>
      </w:r>
      <w:r w:rsidRPr="000B3337">
        <w:rPr>
          <w:rFonts w:ascii="標楷體" w:eastAsia="標楷體" w:hAnsi="標楷體" w:hint="eastAsia"/>
        </w:rPr>
        <w:t>日</w:t>
      </w:r>
      <w:r>
        <w:rPr>
          <w:rFonts w:ascii="標楷體" w:eastAsia="標楷體" w:hAnsi="標楷體" w:hint="eastAsia"/>
          <w:lang w:eastAsia="zh-TW"/>
        </w:rPr>
        <w:t>。</w:t>
      </w:r>
    </w:p>
  </w:footnote>
  <w:footnote w:id="18">
    <w:p w:rsidR="005F5D55" w:rsidRDefault="005F5D55" w:rsidP="00C47671">
      <w:pPr>
        <w:pStyle w:val="afe"/>
      </w:pPr>
      <w:r>
        <w:rPr>
          <w:rStyle w:val="aff0"/>
        </w:rPr>
        <w:footnoteRef/>
      </w:r>
      <w:r>
        <w:rPr>
          <w:rFonts w:ascii="標楷體" w:eastAsia="標楷體" w:hAnsi="標楷體"/>
        </w:rPr>
        <w:t xml:space="preserve"> </w:t>
      </w:r>
      <w:r w:rsidRPr="000B3337">
        <w:rPr>
          <w:rFonts w:ascii="標楷體" w:eastAsia="標楷體" w:hAnsi="標楷體" w:hint="eastAsia"/>
        </w:rPr>
        <w:t>企業觀察報，</w:t>
      </w:r>
      <w:r>
        <w:rPr>
          <w:rFonts w:ascii="標楷體" w:eastAsia="標楷體" w:hAnsi="標楷體" w:hint="eastAsia"/>
        </w:rPr>
        <w:t>「</w:t>
      </w:r>
      <w:r>
        <w:rPr>
          <w:rFonts w:ascii="標楷體" w:eastAsia="標楷體" w:hAnsi="標楷體" w:hint="eastAsia"/>
          <w:lang w:eastAsia="zh-TW"/>
        </w:rPr>
        <w:t>評論</w:t>
      </w:r>
      <w:r w:rsidRPr="00C74F59">
        <w:rPr>
          <w:rFonts w:ascii="標楷體" w:eastAsia="標楷體" w:hAnsi="標楷體" w:hint="eastAsia"/>
        </w:rPr>
        <w:t>：</w:t>
      </w:r>
      <w:r w:rsidRPr="00C74F59">
        <w:rPr>
          <w:rFonts w:ascii="標楷體" w:eastAsia="標楷體" w:hAnsi="標楷體" w:hint="eastAsia"/>
          <w:lang w:eastAsia="zh-TW"/>
        </w:rPr>
        <w:t>營</w:t>
      </w:r>
      <w:r w:rsidRPr="00C74F59">
        <w:rPr>
          <w:rFonts w:ascii="標楷體" w:eastAsia="標楷體" w:hAnsi="標楷體" w:hint="eastAsia"/>
        </w:rPr>
        <w:t>改增</w:t>
      </w:r>
      <w:r w:rsidR="00CB3069" w:rsidRPr="00C74F59">
        <w:rPr>
          <w:rFonts w:ascii="標楷體" w:eastAsia="標楷體" w:hAnsi="標楷體" w:hint="eastAsia"/>
          <w:lang w:eastAsia="zh-TW"/>
        </w:rPr>
        <w:t>帶來</w:t>
      </w:r>
      <w:r w:rsidRPr="00C74F59">
        <w:rPr>
          <w:rFonts w:ascii="標楷體" w:eastAsia="標楷體" w:hAnsi="標楷體" w:hint="eastAsia"/>
          <w:lang w:eastAsia="zh-TW"/>
        </w:rPr>
        <w:t>減稅轉</w:t>
      </w:r>
      <w:r w:rsidRPr="000B3337">
        <w:rPr>
          <w:rFonts w:ascii="標楷體" w:eastAsia="標楷體" w:hAnsi="標楷體" w:hint="eastAsia"/>
        </w:rPr>
        <w:t>型改制三大红利</w:t>
      </w:r>
      <w:r>
        <w:rPr>
          <w:rFonts w:ascii="標楷體" w:eastAsia="標楷體" w:hAnsi="標楷體" w:hint="eastAsia"/>
        </w:rPr>
        <w:t>」</w:t>
      </w:r>
      <w:r w:rsidRPr="000B3337">
        <w:rPr>
          <w:rFonts w:ascii="標楷體" w:eastAsia="標楷體" w:hAnsi="標楷體" w:hint="eastAsia"/>
        </w:rPr>
        <w:t>，</w:t>
      </w:r>
      <w:r w:rsidRPr="000B3337">
        <w:rPr>
          <w:rFonts w:ascii="標楷體" w:eastAsia="標楷體" w:hAnsi="標楷體"/>
        </w:rPr>
        <w:t>2014</w:t>
      </w:r>
      <w:r w:rsidRPr="000B3337">
        <w:rPr>
          <w:rFonts w:ascii="標楷體" w:eastAsia="標楷體" w:hAnsi="標楷體" w:hint="eastAsia"/>
        </w:rPr>
        <w:t>年</w:t>
      </w:r>
      <w:r w:rsidRPr="000B3337">
        <w:rPr>
          <w:rFonts w:ascii="標楷體" w:eastAsia="標楷體" w:hAnsi="標楷體"/>
        </w:rPr>
        <w:t>7</w:t>
      </w:r>
      <w:r w:rsidRPr="000B3337">
        <w:rPr>
          <w:rFonts w:ascii="標楷體" w:eastAsia="標楷體" w:hAnsi="標楷體" w:hint="eastAsia"/>
        </w:rPr>
        <w:t>月</w:t>
      </w:r>
      <w:r w:rsidRPr="000B3337">
        <w:rPr>
          <w:rFonts w:ascii="標楷體" w:eastAsia="標楷體" w:hAnsi="標楷體"/>
        </w:rPr>
        <w:t>10</w:t>
      </w:r>
      <w:r w:rsidRPr="000B3337">
        <w:rPr>
          <w:rFonts w:ascii="標楷體" w:eastAsia="標楷體" w:hAnsi="標楷體" w:hint="eastAsia"/>
        </w:rPr>
        <w:t>日</w:t>
      </w:r>
      <w:r>
        <w:rPr>
          <w:rFonts w:ascii="標楷體" w:eastAsia="標楷體" w:hAnsi="標楷體" w:hint="eastAsia"/>
          <w:lang w:eastAsia="zh-TW"/>
        </w:rPr>
        <w:t>。</w:t>
      </w:r>
    </w:p>
  </w:footnote>
  <w:footnote w:id="19">
    <w:p w:rsidR="005F5D55" w:rsidRPr="004C6762" w:rsidRDefault="005F5D55" w:rsidP="00196463">
      <w:pPr>
        <w:pStyle w:val="afe"/>
        <w:rPr>
          <w:rFonts w:ascii="標楷體" w:eastAsia="標楷體" w:hAnsi="標楷體"/>
          <w:lang w:eastAsia="zh-TW"/>
        </w:rPr>
      </w:pPr>
      <w:r>
        <w:rPr>
          <w:rStyle w:val="aff0"/>
        </w:rPr>
        <w:footnoteRef/>
      </w:r>
      <w:r>
        <w:t xml:space="preserve"> </w:t>
      </w:r>
      <w:r w:rsidRPr="004C6762">
        <w:rPr>
          <w:rFonts w:ascii="標楷體" w:eastAsia="標楷體" w:hAnsi="標楷體" w:hint="eastAsia"/>
          <w:lang w:eastAsia="zh-TW"/>
        </w:rPr>
        <w:t>中國大陸外交部網站新聞稿，「共建文明互鑒共同發展的新時代絲綢之路—外交部長王毅談習近平主席訪問中亞四國並出席上海合作組織比什凱克峰會」，</w:t>
      </w:r>
      <w:r w:rsidRPr="004C6762">
        <w:rPr>
          <w:rFonts w:ascii="標楷體" w:eastAsia="標楷體" w:hAnsi="標楷體"/>
          <w:lang w:eastAsia="zh-TW"/>
        </w:rPr>
        <w:t>2013</w:t>
      </w:r>
      <w:r w:rsidRPr="004C6762">
        <w:rPr>
          <w:rFonts w:ascii="標楷體" w:eastAsia="標楷體" w:hAnsi="標楷體" w:hint="eastAsia"/>
          <w:lang w:eastAsia="zh-TW"/>
        </w:rPr>
        <w:t>年</w:t>
      </w:r>
      <w:r w:rsidRPr="004C6762">
        <w:rPr>
          <w:rFonts w:ascii="標楷體" w:eastAsia="標楷體" w:hAnsi="標楷體"/>
          <w:lang w:eastAsia="zh-TW"/>
        </w:rPr>
        <w:t>9</w:t>
      </w:r>
      <w:r w:rsidRPr="004C6762">
        <w:rPr>
          <w:rFonts w:ascii="標楷體" w:eastAsia="標楷體" w:hAnsi="標楷體" w:hint="eastAsia"/>
          <w:lang w:eastAsia="zh-TW"/>
        </w:rPr>
        <w:t>月</w:t>
      </w:r>
      <w:r w:rsidRPr="004C6762">
        <w:rPr>
          <w:rFonts w:ascii="標楷體" w:eastAsia="標楷體" w:hAnsi="標楷體"/>
          <w:lang w:eastAsia="zh-TW"/>
        </w:rPr>
        <w:t>14</w:t>
      </w:r>
      <w:r w:rsidRPr="004C6762">
        <w:rPr>
          <w:rFonts w:ascii="標楷體" w:eastAsia="標楷體" w:hAnsi="標楷體" w:hint="eastAsia"/>
          <w:lang w:eastAsia="zh-TW"/>
        </w:rPr>
        <w:t>日。</w:t>
      </w:r>
    </w:p>
  </w:footnote>
  <w:footnote w:id="20">
    <w:p w:rsidR="005F5D55" w:rsidRPr="00114FD7" w:rsidRDefault="005F5D55" w:rsidP="00196463">
      <w:pPr>
        <w:pStyle w:val="afe"/>
        <w:rPr>
          <w:lang w:eastAsia="zh-TW"/>
        </w:rPr>
      </w:pPr>
      <w:r>
        <w:rPr>
          <w:rStyle w:val="aff0"/>
        </w:rPr>
        <w:footnoteRef/>
      </w:r>
      <w:r>
        <w:t xml:space="preserve"> </w:t>
      </w:r>
      <w:r w:rsidRPr="00114FD7">
        <w:rPr>
          <w:rFonts w:ascii="標楷體" w:eastAsia="標楷體" w:hAnsi="標楷體" w:hint="eastAsia"/>
          <w:lang w:eastAsia="zh-TW"/>
        </w:rPr>
        <w:t>BBC中文網，「中國主導成立亞洲基礎設施投資銀行」，2014年1</w:t>
      </w:r>
      <w:r>
        <w:rPr>
          <w:rFonts w:ascii="標楷體" w:eastAsia="標楷體" w:hAnsi="標楷體" w:hint="eastAsia"/>
          <w:lang w:eastAsia="zh-TW"/>
        </w:rPr>
        <w:t>0</w:t>
      </w:r>
      <w:r w:rsidRPr="00114FD7">
        <w:rPr>
          <w:rFonts w:ascii="標楷體" w:eastAsia="標楷體" w:hAnsi="標楷體" w:hint="eastAsia"/>
          <w:lang w:eastAsia="zh-TW"/>
        </w:rPr>
        <w:t>月</w:t>
      </w:r>
      <w:r>
        <w:rPr>
          <w:rFonts w:ascii="標楷體" w:eastAsia="標楷體" w:hAnsi="標楷體" w:hint="eastAsia"/>
          <w:lang w:eastAsia="zh-TW"/>
        </w:rPr>
        <w:t>24</w:t>
      </w:r>
      <w:r w:rsidRPr="00114FD7">
        <w:rPr>
          <w:rFonts w:ascii="標楷體" w:eastAsia="標楷體" w:hAnsi="標楷體" w:hint="eastAsia"/>
          <w:lang w:eastAsia="zh-TW"/>
        </w:rPr>
        <w:t>日</w:t>
      </w:r>
      <w:r>
        <w:rPr>
          <w:rFonts w:ascii="標楷體" w:eastAsia="標楷體" w:hAnsi="標楷體" w:hint="eastAsia"/>
          <w:lang w:eastAsia="zh-TW"/>
        </w:rPr>
        <w:t>。</w:t>
      </w:r>
    </w:p>
  </w:footnote>
  <w:footnote w:id="21">
    <w:p w:rsidR="005F5D55" w:rsidRPr="00114FD7" w:rsidRDefault="005F5D55" w:rsidP="00196463">
      <w:pPr>
        <w:pStyle w:val="afe"/>
        <w:rPr>
          <w:lang w:eastAsia="zh-TW"/>
        </w:rPr>
      </w:pPr>
      <w:r>
        <w:rPr>
          <w:rStyle w:val="aff0"/>
        </w:rPr>
        <w:footnoteRef/>
      </w:r>
      <w:r>
        <w:t xml:space="preserve"> </w:t>
      </w:r>
      <w:r w:rsidRPr="00114FD7">
        <w:rPr>
          <w:rFonts w:ascii="標楷體" w:eastAsia="標楷體" w:hAnsi="標楷體" w:hint="eastAsia"/>
          <w:lang w:eastAsia="zh-TW"/>
        </w:rPr>
        <w:t>BBC中文網，「中國將出資4百億美元成立絲路基金」，2014年11月8日</w:t>
      </w:r>
      <w:r>
        <w:rPr>
          <w:rFonts w:ascii="標楷體" w:eastAsia="標楷體" w:hAnsi="標楷體" w:hint="eastAsia"/>
          <w:lang w:eastAsia="zh-TW"/>
        </w:rPr>
        <w:t>。</w:t>
      </w:r>
    </w:p>
  </w:footnote>
  <w:footnote w:id="22">
    <w:p w:rsidR="005F5D55" w:rsidRPr="001A2B4C" w:rsidRDefault="005F5D55" w:rsidP="00196463">
      <w:pPr>
        <w:pStyle w:val="afe"/>
        <w:rPr>
          <w:rFonts w:ascii="標楷體" w:eastAsia="標楷體" w:hAnsi="標楷體"/>
          <w:lang w:eastAsia="zh-TW"/>
        </w:rPr>
      </w:pPr>
      <w:r w:rsidRPr="001A2B4C">
        <w:rPr>
          <w:rStyle w:val="aff0"/>
          <w:rFonts w:ascii="標楷體" w:eastAsia="標楷體" w:hAnsi="標楷體"/>
        </w:rPr>
        <w:footnoteRef/>
      </w:r>
      <w:r w:rsidRPr="001A2B4C">
        <w:rPr>
          <w:rFonts w:ascii="標楷體" w:eastAsia="標楷體" w:hAnsi="標楷體" w:hint="eastAsia"/>
          <w:lang w:eastAsia="zh-TW"/>
        </w:rPr>
        <w:t xml:space="preserve"> </w:t>
      </w:r>
      <w:r w:rsidRPr="001A2B4C">
        <w:rPr>
          <w:rFonts w:ascii="標楷體" w:eastAsia="標楷體" w:hAnsi="標楷體" w:hint="eastAsia"/>
        </w:rPr>
        <w:t>新浪財經網，「一帶一路戰略應分階段實施 總體規劃本月上報國務院」，2014年10月22日。</w:t>
      </w:r>
    </w:p>
  </w:footnote>
  <w:footnote w:id="23">
    <w:p w:rsidR="005F5D55" w:rsidRDefault="005F5D55" w:rsidP="00FC7402">
      <w:pPr>
        <w:pStyle w:val="afe"/>
        <w:rPr>
          <w:lang w:eastAsia="zh-TW"/>
        </w:rPr>
      </w:pPr>
      <w:r>
        <w:rPr>
          <w:rStyle w:val="aff0"/>
        </w:rPr>
        <w:footnoteRef/>
      </w:r>
      <w:r>
        <w:t xml:space="preserve"> </w:t>
      </w:r>
      <w:r w:rsidRPr="00FA1A57">
        <w:rPr>
          <w:rFonts w:ascii="標楷體" w:eastAsia="標楷體" w:hAnsi="標楷體" w:hint="eastAsia"/>
        </w:rPr>
        <w:t>中國新聞網，2014年7月2日。</w:t>
      </w:r>
    </w:p>
  </w:footnote>
  <w:footnote w:id="24">
    <w:p w:rsidR="005F5D55" w:rsidRDefault="005F5D55" w:rsidP="00FC7402">
      <w:pPr>
        <w:pStyle w:val="afe"/>
        <w:rPr>
          <w:lang w:eastAsia="zh-TW"/>
        </w:rPr>
      </w:pPr>
      <w:r>
        <w:rPr>
          <w:rStyle w:val="aff0"/>
        </w:rPr>
        <w:footnoteRef/>
      </w:r>
      <w:r>
        <w:rPr>
          <w:rFonts w:hint="eastAsia"/>
          <w:lang w:eastAsia="zh-TW"/>
        </w:rPr>
        <w:t xml:space="preserve"> </w:t>
      </w:r>
      <w:r w:rsidRPr="00FA1A57">
        <w:rPr>
          <w:rFonts w:ascii="標楷體" w:eastAsia="標楷體" w:hAnsi="標楷體" w:hint="eastAsia"/>
        </w:rPr>
        <w:t>中國新聞網，</w:t>
      </w:r>
      <w:r w:rsidRPr="00FA1A57">
        <w:rPr>
          <w:rFonts w:ascii="標楷體" w:eastAsia="標楷體" w:hAnsi="標楷體"/>
        </w:rPr>
        <w:t>2014</w:t>
      </w:r>
      <w:r w:rsidRPr="00FA1A57">
        <w:rPr>
          <w:rFonts w:ascii="標楷體" w:eastAsia="標楷體" w:hAnsi="標楷體" w:hint="eastAsia"/>
        </w:rPr>
        <w:t>年</w:t>
      </w:r>
      <w:r w:rsidRPr="00FA1A57">
        <w:rPr>
          <w:rFonts w:ascii="標楷體" w:eastAsia="標楷體" w:hAnsi="標楷體"/>
        </w:rPr>
        <w:t>5</w:t>
      </w:r>
      <w:r w:rsidRPr="00FA1A57">
        <w:rPr>
          <w:rFonts w:ascii="標楷體" w:eastAsia="標楷體" w:hAnsi="標楷體" w:hint="eastAsia"/>
        </w:rPr>
        <w:t>月</w:t>
      </w:r>
      <w:r w:rsidRPr="00FA1A57">
        <w:rPr>
          <w:rFonts w:ascii="標楷體" w:eastAsia="標楷體" w:hAnsi="標楷體"/>
        </w:rPr>
        <w:t>6</w:t>
      </w:r>
      <w:r w:rsidRPr="00FA1A57">
        <w:rPr>
          <w:rFonts w:ascii="標楷體" w:eastAsia="標楷體" w:hAnsi="標楷體" w:hint="eastAsia"/>
        </w:rPr>
        <w:t>日。</w:t>
      </w:r>
    </w:p>
  </w:footnote>
  <w:footnote w:id="25">
    <w:p w:rsidR="005F5D55" w:rsidRPr="00FA1A57" w:rsidRDefault="005F5D55" w:rsidP="00FC7402">
      <w:pPr>
        <w:pStyle w:val="afe"/>
        <w:rPr>
          <w:lang w:eastAsia="zh-TW"/>
        </w:rPr>
      </w:pPr>
      <w:r>
        <w:rPr>
          <w:rStyle w:val="aff0"/>
        </w:rPr>
        <w:footnoteRef/>
      </w:r>
      <w:r>
        <w:rPr>
          <w:rFonts w:hint="eastAsia"/>
          <w:lang w:eastAsia="zh-TW"/>
        </w:rPr>
        <w:t xml:space="preserve"> </w:t>
      </w:r>
      <w:r w:rsidRPr="00FA1A57">
        <w:rPr>
          <w:rFonts w:ascii="標楷體" w:eastAsia="標楷體" w:hAnsi="標楷體" w:hint="eastAsia"/>
        </w:rPr>
        <w:t>聯合晚報，</w:t>
      </w:r>
      <w:r w:rsidRPr="00FA1A57">
        <w:rPr>
          <w:rFonts w:ascii="標楷體" w:eastAsia="標楷體" w:hAnsi="標楷體"/>
        </w:rPr>
        <w:t>2014</w:t>
      </w:r>
      <w:r w:rsidRPr="00FA1A57">
        <w:rPr>
          <w:rFonts w:ascii="標楷體" w:eastAsia="標楷體" w:hAnsi="標楷體" w:hint="eastAsia"/>
        </w:rPr>
        <w:t>年</w:t>
      </w:r>
      <w:r w:rsidRPr="00FA1A57">
        <w:rPr>
          <w:rFonts w:ascii="標楷體" w:eastAsia="標楷體" w:hAnsi="標楷體"/>
        </w:rPr>
        <w:t>10</w:t>
      </w:r>
      <w:r w:rsidRPr="00FA1A57">
        <w:rPr>
          <w:rFonts w:ascii="標楷體" w:eastAsia="標楷體" w:hAnsi="標楷體" w:hint="eastAsia"/>
        </w:rPr>
        <w:t>月</w:t>
      </w:r>
      <w:r w:rsidRPr="00FA1A57">
        <w:rPr>
          <w:rFonts w:ascii="標楷體" w:eastAsia="標楷體" w:hAnsi="標楷體"/>
        </w:rPr>
        <w:t>20</w:t>
      </w:r>
      <w:r w:rsidRPr="00FA1A57">
        <w:rPr>
          <w:rFonts w:ascii="標楷體" w:eastAsia="標楷體" w:hAnsi="標楷體" w:hint="eastAsia"/>
        </w:rPr>
        <w:t>日。</w:t>
      </w:r>
    </w:p>
  </w:footnote>
  <w:footnote w:id="26">
    <w:p w:rsidR="005F5D55" w:rsidRPr="00FA1A57" w:rsidRDefault="005F5D55" w:rsidP="00196463">
      <w:pPr>
        <w:pStyle w:val="afe"/>
        <w:rPr>
          <w:lang w:eastAsia="zh-TW"/>
        </w:rPr>
      </w:pPr>
      <w:r>
        <w:rPr>
          <w:rStyle w:val="aff0"/>
        </w:rPr>
        <w:footnoteRef/>
      </w:r>
      <w:r>
        <w:rPr>
          <w:rFonts w:hint="eastAsia"/>
          <w:lang w:eastAsia="zh-TW"/>
        </w:rPr>
        <w:t xml:space="preserve"> </w:t>
      </w:r>
      <w:r w:rsidRPr="00FA1A57">
        <w:rPr>
          <w:rFonts w:ascii="標楷體" w:eastAsia="標楷體" w:hAnsi="標楷體" w:hint="eastAsia"/>
        </w:rPr>
        <w:t>經濟日報，</w:t>
      </w:r>
      <w:r w:rsidRPr="00FA1A57">
        <w:rPr>
          <w:rFonts w:ascii="標楷體" w:eastAsia="標楷體" w:hAnsi="標楷體"/>
        </w:rPr>
        <w:t xml:space="preserve"> 2014</w:t>
      </w:r>
      <w:r w:rsidRPr="00FA1A57">
        <w:rPr>
          <w:rFonts w:ascii="標楷體" w:eastAsia="標楷體" w:hAnsi="標楷體" w:hint="eastAsia"/>
        </w:rPr>
        <w:t>年</w:t>
      </w:r>
      <w:r w:rsidRPr="00FA1A57">
        <w:rPr>
          <w:rFonts w:ascii="標楷體" w:eastAsia="標楷體" w:hAnsi="標楷體"/>
        </w:rPr>
        <w:t>10</w:t>
      </w:r>
      <w:r w:rsidRPr="00FA1A57">
        <w:rPr>
          <w:rFonts w:ascii="標楷體" w:eastAsia="標楷體" w:hAnsi="標楷體" w:hint="eastAsia"/>
        </w:rPr>
        <w:t>月</w:t>
      </w:r>
      <w:r w:rsidRPr="00FA1A57">
        <w:rPr>
          <w:rFonts w:ascii="標楷體" w:eastAsia="標楷體" w:hAnsi="標楷體"/>
        </w:rPr>
        <w:t>9</w:t>
      </w:r>
      <w:r w:rsidRPr="00FA1A57">
        <w:rPr>
          <w:rFonts w:ascii="標楷體" w:eastAsia="標楷體" w:hAnsi="標楷體" w:hint="eastAsia"/>
        </w:rPr>
        <w:t>日。</w:t>
      </w:r>
    </w:p>
  </w:footnote>
  <w:footnote w:id="27">
    <w:p w:rsidR="005F5D55" w:rsidRPr="00CC7005" w:rsidRDefault="005F5D55" w:rsidP="00196463">
      <w:pPr>
        <w:pStyle w:val="afe"/>
        <w:rPr>
          <w:rFonts w:ascii="標楷體" w:eastAsia="標楷體" w:hAnsi="標楷體"/>
          <w:lang w:eastAsia="zh-TW"/>
        </w:rPr>
      </w:pPr>
      <w:r>
        <w:rPr>
          <w:rStyle w:val="aff0"/>
        </w:rPr>
        <w:footnoteRef/>
      </w:r>
      <w:r>
        <w:t xml:space="preserve"> </w:t>
      </w:r>
      <w:r>
        <w:rPr>
          <w:rFonts w:ascii="標楷體" w:eastAsia="標楷體" w:hAnsi="標楷體" w:hint="eastAsia"/>
          <w:lang w:eastAsia="zh-TW"/>
        </w:rPr>
        <w:t>信報財經，「</w:t>
      </w:r>
      <w:r w:rsidRPr="000A3D24">
        <w:rPr>
          <w:rFonts w:ascii="標楷體" w:eastAsia="標楷體" w:hAnsi="標楷體" w:hint="eastAsia"/>
          <w:lang w:eastAsia="zh-TW"/>
        </w:rPr>
        <w:t>WTO:未來1至2年中國有望成為GPA參與方</w:t>
      </w:r>
      <w:r>
        <w:rPr>
          <w:rFonts w:ascii="標楷體" w:eastAsia="標楷體" w:hAnsi="標楷體" w:hint="eastAsia"/>
          <w:lang w:eastAsia="zh-TW"/>
        </w:rPr>
        <w:t>」，2014年10月11日。</w:t>
      </w:r>
    </w:p>
  </w:footnote>
  <w:footnote w:id="28">
    <w:p w:rsidR="005F5D55" w:rsidRDefault="005F5D55" w:rsidP="00196463">
      <w:pPr>
        <w:pStyle w:val="afe"/>
        <w:rPr>
          <w:lang w:eastAsia="zh-TW"/>
        </w:rPr>
      </w:pPr>
      <w:r>
        <w:rPr>
          <w:rStyle w:val="aff0"/>
        </w:rPr>
        <w:footnoteRef/>
      </w:r>
      <w:r>
        <w:t xml:space="preserve"> </w:t>
      </w:r>
      <w:r>
        <w:rPr>
          <w:rFonts w:ascii="標楷體" w:eastAsia="標楷體" w:hAnsi="標楷體" w:hint="eastAsia"/>
          <w:lang w:eastAsia="zh-TW"/>
        </w:rPr>
        <w:t>林長慶，「中</w:t>
      </w:r>
      <w:r w:rsidRPr="009110FE">
        <w:rPr>
          <w:rFonts w:ascii="標楷體" w:eastAsia="標楷體" w:hAnsi="標楷體" w:hint="eastAsia"/>
          <w:lang w:eastAsia="zh-TW"/>
        </w:rPr>
        <w:t>國大陸提交第四次GPA市場開放修正承諾清單</w:t>
      </w:r>
      <w:r>
        <w:rPr>
          <w:rFonts w:ascii="標楷體" w:eastAsia="標楷體" w:hAnsi="標楷體" w:hint="eastAsia"/>
          <w:lang w:eastAsia="zh-TW"/>
        </w:rPr>
        <w:t>」，中華經濟研究院WTO及RTA中心網站，2014年1月16日。</w:t>
      </w:r>
    </w:p>
  </w:footnote>
  <w:footnote w:id="29">
    <w:p w:rsidR="005F5D55" w:rsidRDefault="005F5D55" w:rsidP="00196463">
      <w:pPr>
        <w:pStyle w:val="afe"/>
        <w:rPr>
          <w:lang w:eastAsia="zh-TW"/>
        </w:rPr>
      </w:pPr>
      <w:r>
        <w:rPr>
          <w:rStyle w:val="aff0"/>
        </w:rPr>
        <w:footnoteRef/>
      </w:r>
      <w:r>
        <w:t xml:space="preserve"> </w:t>
      </w:r>
      <w:r w:rsidRPr="002A3663">
        <w:rPr>
          <w:rFonts w:ascii="標楷體" w:eastAsia="標楷體" w:hAnsi="標楷體" w:hint="eastAsia"/>
          <w:lang w:eastAsia="zh-TW"/>
        </w:rPr>
        <w:t>旺報，「</w:t>
      </w:r>
      <w:r>
        <w:rPr>
          <w:rFonts w:ascii="標楷體" w:eastAsia="標楷體" w:hAnsi="標楷體" w:hint="eastAsia"/>
          <w:lang w:eastAsia="zh-TW"/>
        </w:rPr>
        <w:t>臺</w:t>
      </w:r>
      <w:r w:rsidRPr="002A3663">
        <w:rPr>
          <w:rFonts w:ascii="標楷體" w:eastAsia="標楷體" w:hAnsi="標楷體" w:hint="eastAsia"/>
          <w:lang w:eastAsia="zh-TW"/>
        </w:rPr>
        <w:t>入TPP、FTAAP 討不到便宜」，2014年4月11日。</w:t>
      </w:r>
    </w:p>
  </w:footnote>
  <w:footnote w:id="30">
    <w:p w:rsidR="005F5D55" w:rsidRPr="00C168F4" w:rsidRDefault="005F5D55" w:rsidP="00196463">
      <w:pPr>
        <w:pStyle w:val="afe"/>
        <w:rPr>
          <w:rFonts w:ascii="標楷體" w:eastAsia="標楷體" w:hAnsi="標楷體"/>
          <w:lang w:eastAsia="zh-TW"/>
        </w:rPr>
      </w:pPr>
      <w:r w:rsidRPr="00C168F4">
        <w:rPr>
          <w:rStyle w:val="aff0"/>
        </w:rPr>
        <w:footnoteRef/>
      </w:r>
      <w:r>
        <w:rPr>
          <w:rStyle w:val="aff0"/>
          <w:rFonts w:hint="eastAsia"/>
          <w:lang w:eastAsia="zh-TW"/>
        </w:rPr>
        <w:t xml:space="preserve"> </w:t>
      </w:r>
      <w:r w:rsidRPr="00C168F4">
        <w:rPr>
          <w:rFonts w:ascii="標楷體" w:eastAsia="標楷體" w:hAnsi="標楷體" w:hint="eastAsia"/>
        </w:rPr>
        <w:t>旺報，「大陸送大禮 如何說到做到」，2014年6月30日。</w:t>
      </w:r>
    </w:p>
  </w:footnote>
  <w:footnote w:id="31">
    <w:p w:rsidR="005F5D55" w:rsidRPr="00C168F4" w:rsidRDefault="005F5D55" w:rsidP="00196463">
      <w:pPr>
        <w:pStyle w:val="afe"/>
        <w:rPr>
          <w:lang w:eastAsia="zh-TW"/>
        </w:rPr>
      </w:pPr>
      <w:r>
        <w:rPr>
          <w:rStyle w:val="aff0"/>
        </w:rPr>
        <w:footnoteRef/>
      </w:r>
      <w:r>
        <w:rPr>
          <w:rFonts w:hint="eastAsia"/>
          <w:lang w:eastAsia="zh-TW"/>
        </w:rPr>
        <w:t xml:space="preserve"> </w:t>
      </w:r>
      <w:r w:rsidRPr="00C168F4">
        <w:rPr>
          <w:rFonts w:ascii="標楷體" w:eastAsia="標楷體" w:hAnsi="標楷體" w:hint="eastAsia"/>
        </w:rPr>
        <w:t>中時電子報，「</w:t>
      </w:r>
      <w:r>
        <w:rPr>
          <w:rFonts w:ascii="標楷體" w:eastAsia="標楷體" w:hAnsi="標楷體" w:hint="eastAsia"/>
        </w:rPr>
        <w:t>臺</w:t>
      </w:r>
      <w:r w:rsidRPr="00C168F4">
        <w:rPr>
          <w:rFonts w:ascii="標楷體" w:eastAsia="標楷體" w:hAnsi="標楷體" w:hint="eastAsia"/>
        </w:rPr>
        <w:t>馬簽FTA 陸表態反對」，201</w:t>
      </w:r>
      <w:r w:rsidRPr="00C168F4">
        <w:rPr>
          <w:rFonts w:ascii="標楷體" w:eastAsia="標楷體" w:hAnsi="標楷體" w:hint="eastAsia"/>
          <w:lang w:eastAsia="zh-TW"/>
        </w:rPr>
        <w:t>4</w:t>
      </w:r>
      <w:r w:rsidRPr="00C168F4">
        <w:rPr>
          <w:rFonts w:ascii="標楷體" w:eastAsia="標楷體" w:hAnsi="標楷體" w:hint="eastAsia"/>
        </w:rPr>
        <w:t>年</w:t>
      </w:r>
      <w:r w:rsidRPr="00C168F4">
        <w:rPr>
          <w:rFonts w:ascii="標楷體" w:eastAsia="標楷體" w:hAnsi="標楷體" w:hint="eastAsia"/>
          <w:lang w:eastAsia="zh-TW"/>
        </w:rPr>
        <w:t>8</w:t>
      </w:r>
      <w:r w:rsidRPr="00C168F4">
        <w:rPr>
          <w:rFonts w:ascii="標楷體" w:eastAsia="標楷體" w:hAnsi="標楷體" w:hint="eastAsia"/>
        </w:rPr>
        <w:t>月</w:t>
      </w:r>
      <w:r w:rsidRPr="00C168F4">
        <w:rPr>
          <w:rFonts w:ascii="標楷體" w:eastAsia="標楷體" w:hAnsi="標楷體" w:hint="eastAsia"/>
          <w:lang w:eastAsia="zh-TW"/>
        </w:rPr>
        <w:t>22</w:t>
      </w:r>
      <w:r w:rsidRPr="00C168F4">
        <w:rPr>
          <w:rFonts w:ascii="標楷體" w:eastAsia="標楷體" w:hAnsi="標楷體" w:hint="eastAsia"/>
        </w:rPr>
        <w:t>日。</w:t>
      </w:r>
    </w:p>
  </w:footnote>
  <w:footnote w:id="32">
    <w:p w:rsidR="005F5D55" w:rsidRDefault="005F5D55" w:rsidP="00196463">
      <w:pPr>
        <w:pStyle w:val="afe"/>
        <w:rPr>
          <w:lang w:eastAsia="zh-TW"/>
        </w:rPr>
      </w:pPr>
      <w:r>
        <w:rPr>
          <w:rStyle w:val="aff0"/>
        </w:rPr>
        <w:footnoteRef/>
      </w:r>
      <w:r w:rsidRPr="00C168F4">
        <w:rPr>
          <w:rFonts w:ascii="標楷體" w:eastAsia="標楷體" w:hAnsi="標楷體" w:hint="eastAsia"/>
          <w:lang w:eastAsia="zh-TW"/>
        </w:rPr>
        <w:t xml:space="preserve"> </w:t>
      </w:r>
      <w:r w:rsidRPr="00C168F4">
        <w:rPr>
          <w:rFonts w:ascii="標楷體" w:eastAsia="標楷體" w:hAnsi="標楷體" w:hint="eastAsia"/>
        </w:rPr>
        <w:t xml:space="preserve">中時電子報，「中澳FTA衝刺 </w:t>
      </w:r>
      <w:r>
        <w:rPr>
          <w:rFonts w:ascii="標楷體" w:eastAsia="標楷體" w:hAnsi="標楷體" w:hint="eastAsia"/>
        </w:rPr>
        <w:t>臺</w:t>
      </w:r>
      <w:r w:rsidRPr="00C168F4">
        <w:rPr>
          <w:rFonts w:ascii="標楷體" w:eastAsia="標楷體" w:hAnsi="標楷體" w:hint="eastAsia"/>
        </w:rPr>
        <w:t>澳可望跟進」，201</w:t>
      </w:r>
      <w:r w:rsidRPr="00C168F4">
        <w:rPr>
          <w:rFonts w:ascii="標楷體" w:eastAsia="標楷體" w:hAnsi="標楷體" w:hint="eastAsia"/>
          <w:lang w:eastAsia="zh-TW"/>
        </w:rPr>
        <w:t>4</w:t>
      </w:r>
      <w:r w:rsidRPr="00C168F4">
        <w:rPr>
          <w:rFonts w:ascii="標楷體" w:eastAsia="標楷體" w:hAnsi="標楷體" w:hint="eastAsia"/>
        </w:rPr>
        <w:t>年</w:t>
      </w:r>
      <w:r w:rsidRPr="00C168F4">
        <w:rPr>
          <w:rFonts w:ascii="標楷體" w:eastAsia="標楷體" w:hAnsi="標楷體" w:hint="eastAsia"/>
          <w:lang w:eastAsia="zh-TW"/>
        </w:rPr>
        <w:t>10</w:t>
      </w:r>
      <w:r w:rsidRPr="00C168F4">
        <w:rPr>
          <w:rFonts w:ascii="標楷體" w:eastAsia="標楷體" w:hAnsi="標楷體" w:hint="eastAsia"/>
        </w:rPr>
        <w:t>月</w:t>
      </w:r>
      <w:r w:rsidRPr="00C168F4">
        <w:rPr>
          <w:rFonts w:ascii="標楷體" w:eastAsia="標楷體" w:hAnsi="標楷體" w:hint="eastAsia"/>
          <w:lang w:eastAsia="zh-TW"/>
        </w:rPr>
        <w:t>7</w:t>
      </w:r>
      <w:r w:rsidRPr="00C168F4">
        <w:rPr>
          <w:rFonts w:ascii="標楷體" w:eastAsia="標楷體" w:hAnsi="標楷體" w:hint="eastAsia"/>
        </w:rPr>
        <w:t>日。</w:t>
      </w:r>
    </w:p>
  </w:footnote>
  <w:footnote w:id="33">
    <w:p w:rsidR="005F5D55" w:rsidRPr="00E97693" w:rsidRDefault="005F5D55" w:rsidP="00196463">
      <w:pPr>
        <w:pStyle w:val="afe"/>
        <w:rPr>
          <w:rFonts w:ascii="標楷體" w:eastAsia="標楷體" w:hAnsi="標楷體"/>
          <w:lang w:eastAsia="zh-TW"/>
        </w:rPr>
      </w:pPr>
      <w:r w:rsidRPr="00E97693">
        <w:rPr>
          <w:rStyle w:val="aff0"/>
          <w:rFonts w:ascii="標楷體" w:eastAsia="標楷體" w:hAnsi="標楷體"/>
        </w:rPr>
        <w:footnoteRef/>
      </w:r>
      <w:r>
        <w:rPr>
          <w:rFonts w:ascii="標楷體" w:eastAsia="標楷體" w:hAnsi="標楷體" w:hint="eastAsia"/>
          <w:lang w:eastAsia="zh-TW"/>
        </w:rPr>
        <w:t xml:space="preserve"> </w:t>
      </w:r>
      <w:r w:rsidRPr="00E97693">
        <w:rPr>
          <w:rFonts w:ascii="標楷體" w:eastAsia="標楷體" w:hAnsi="標楷體" w:hint="eastAsia"/>
        </w:rPr>
        <w:t>上海市社會科學界聯合會，《中國上海自由貿易試驗區</w:t>
      </w:r>
      <w:r w:rsidRPr="00E97693">
        <w:rPr>
          <w:rFonts w:ascii="標楷體" w:eastAsia="標楷體" w:hAnsi="標楷體" w:hint="eastAsia"/>
          <w:lang w:eastAsia="zh-TW"/>
        </w:rPr>
        <w:t>150</w:t>
      </w:r>
      <w:r w:rsidRPr="00E97693">
        <w:rPr>
          <w:rFonts w:ascii="標楷體" w:eastAsia="標楷體" w:hAnsi="標楷體" w:hint="eastAsia"/>
        </w:rPr>
        <w:t>問》，第二版，2014年</w:t>
      </w:r>
      <w:r w:rsidRPr="00E97693">
        <w:rPr>
          <w:rFonts w:ascii="標楷體" w:eastAsia="標楷體" w:hAnsi="標楷體" w:hint="eastAsia"/>
          <w:lang w:eastAsia="zh-TW"/>
        </w:rPr>
        <w:t>8</w:t>
      </w:r>
      <w:r w:rsidRPr="00E97693">
        <w:rPr>
          <w:rFonts w:ascii="標楷體" w:eastAsia="標楷體" w:hAnsi="標楷體" w:hint="eastAsia"/>
        </w:rPr>
        <w:t>月。</w:t>
      </w:r>
    </w:p>
  </w:footnote>
  <w:footnote w:id="34">
    <w:p w:rsidR="005F5D55" w:rsidRPr="00C371A1" w:rsidRDefault="005F5D55" w:rsidP="00196463">
      <w:pPr>
        <w:pStyle w:val="afe"/>
        <w:rPr>
          <w:lang w:eastAsia="zh-TW"/>
        </w:rPr>
      </w:pPr>
      <w:r>
        <w:rPr>
          <w:rStyle w:val="aff0"/>
        </w:rPr>
        <w:footnoteRef/>
      </w:r>
      <w:r>
        <w:t xml:space="preserve"> </w:t>
      </w:r>
      <w:r w:rsidRPr="00C371A1">
        <w:rPr>
          <w:rFonts w:ascii="標楷體" w:eastAsia="標楷體" w:hAnsi="標楷體" w:hint="eastAsia"/>
        </w:rPr>
        <w:t>BBC中文網，「上海自貿區一週年：突破不多 教訓難得」，2014年9月30日。</w:t>
      </w:r>
    </w:p>
  </w:footnote>
  <w:footnote w:id="35">
    <w:p w:rsidR="005F5D55" w:rsidRDefault="005F5D55" w:rsidP="00196463">
      <w:pPr>
        <w:pStyle w:val="afe"/>
        <w:rPr>
          <w:lang w:eastAsia="zh-TW"/>
        </w:rPr>
      </w:pPr>
      <w:r>
        <w:rPr>
          <w:rStyle w:val="aff0"/>
        </w:rPr>
        <w:footnoteRef/>
      </w:r>
      <w:r>
        <w:rPr>
          <w:rFonts w:hint="eastAsia"/>
          <w:lang w:eastAsia="zh-TW"/>
        </w:rPr>
        <w:t xml:space="preserve"> </w:t>
      </w:r>
      <w:r w:rsidRPr="00DB7B5B">
        <w:rPr>
          <w:rFonts w:ascii="標楷體" w:eastAsia="標楷體" w:hAnsi="標楷體" w:hint="eastAsia"/>
        </w:rPr>
        <w:t>中央社，「上海自貿區</w:t>
      </w:r>
      <w:r>
        <w:rPr>
          <w:rFonts w:ascii="標楷體" w:eastAsia="標楷體" w:hAnsi="標楷體" w:hint="eastAsia"/>
        </w:rPr>
        <w:t>臺</w:t>
      </w:r>
      <w:r w:rsidRPr="00DB7B5B">
        <w:rPr>
          <w:rFonts w:ascii="標楷體" w:eastAsia="標楷體" w:hAnsi="標楷體" w:hint="eastAsia"/>
        </w:rPr>
        <w:t>企入駐18家」，2014年01月10日。</w:t>
      </w:r>
    </w:p>
  </w:footnote>
  <w:footnote w:id="36">
    <w:p w:rsidR="005F5D55" w:rsidRDefault="005F5D55" w:rsidP="00196463">
      <w:pPr>
        <w:pStyle w:val="afe"/>
        <w:rPr>
          <w:lang w:eastAsia="zh-TW"/>
        </w:rPr>
      </w:pPr>
      <w:r>
        <w:rPr>
          <w:rStyle w:val="aff0"/>
        </w:rPr>
        <w:footnoteRef/>
      </w:r>
      <w:r>
        <w:rPr>
          <w:rFonts w:hint="eastAsia"/>
          <w:lang w:eastAsia="zh-TW"/>
        </w:rPr>
        <w:t xml:space="preserve"> </w:t>
      </w:r>
      <w:r w:rsidRPr="00DB7B5B">
        <w:rPr>
          <w:rFonts w:ascii="標楷體" w:eastAsia="標楷體" w:hAnsi="標楷體" w:hint="eastAsia"/>
        </w:rPr>
        <w:t>中央社，「陸：157家</w:t>
      </w:r>
      <w:r>
        <w:rPr>
          <w:rFonts w:ascii="標楷體" w:eastAsia="標楷體" w:hAnsi="標楷體" w:hint="eastAsia"/>
        </w:rPr>
        <w:t>臺</w:t>
      </w:r>
      <w:r w:rsidRPr="00DB7B5B">
        <w:rPr>
          <w:rFonts w:ascii="標楷體" w:eastAsia="標楷體" w:hAnsi="標楷體" w:hint="eastAsia"/>
        </w:rPr>
        <w:t>商進駐上海自貿區」，2014年10月15日。</w:t>
      </w:r>
    </w:p>
  </w:footnote>
  <w:footnote w:id="37">
    <w:p w:rsidR="005F5D55" w:rsidRDefault="005F5D55" w:rsidP="00196463">
      <w:pPr>
        <w:pStyle w:val="afe"/>
        <w:rPr>
          <w:lang w:eastAsia="zh-TW"/>
        </w:rPr>
      </w:pPr>
      <w:r>
        <w:rPr>
          <w:rStyle w:val="aff0"/>
        </w:rPr>
        <w:footnoteRef/>
      </w:r>
      <w:r>
        <w:rPr>
          <w:rFonts w:ascii="標楷體" w:eastAsia="標楷體" w:hAnsi="標楷體" w:hint="eastAsia"/>
          <w:lang w:eastAsia="zh-TW"/>
        </w:rPr>
        <w:t xml:space="preserve"> </w:t>
      </w:r>
      <w:r w:rsidRPr="00DB7B5B">
        <w:rPr>
          <w:rFonts w:ascii="標楷體" w:eastAsia="標楷體" w:hAnsi="標楷體" w:hint="eastAsia"/>
        </w:rPr>
        <w:t xml:space="preserve">中央日報，「轉型紅利+自貿區效應　</w:t>
      </w:r>
      <w:r>
        <w:rPr>
          <w:rFonts w:ascii="標楷體" w:eastAsia="標楷體" w:hAnsi="標楷體" w:hint="eastAsia"/>
        </w:rPr>
        <w:t>臺</w:t>
      </w:r>
      <w:r w:rsidRPr="00DB7B5B">
        <w:rPr>
          <w:rFonts w:ascii="標楷體" w:eastAsia="標楷體" w:hAnsi="標楷體" w:hint="eastAsia"/>
        </w:rPr>
        <w:t>商掀上海投資熱」，2014年9月1日。</w:t>
      </w:r>
    </w:p>
  </w:footnote>
  <w:footnote w:id="38">
    <w:p w:rsidR="005F5D55" w:rsidRPr="00BC212C" w:rsidRDefault="005F5D55" w:rsidP="00196463">
      <w:pPr>
        <w:pStyle w:val="afe"/>
        <w:rPr>
          <w:lang w:eastAsia="zh-TW"/>
        </w:rPr>
      </w:pPr>
      <w:r>
        <w:rPr>
          <w:rStyle w:val="aff0"/>
        </w:rPr>
        <w:footnoteRef/>
      </w:r>
      <w:r>
        <w:rPr>
          <w:rFonts w:hint="eastAsia"/>
          <w:lang w:eastAsia="zh-TW"/>
        </w:rPr>
        <w:t xml:space="preserve"> </w:t>
      </w:r>
      <w:r w:rsidRPr="00BC212C">
        <w:rPr>
          <w:rFonts w:ascii="標楷體" w:eastAsia="標楷體" w:hAnsi="標楷體" w:hint="eastAsia"/>
        </w:rPr>
        <w:t>每日經濟新聞，「首家外商獨資醫院將落戶上海自貿區」，2014年</w:t>
      </w:r>
      <w:r w:rsidRPr="00BC212C">
        <w:rPr>
          <w:rFonts w:ascii="標楷體" w:eastAsia="標楷體" w:hAnsi="標楷體" w:hint="eastAsia"/>
          <w:lang w:eastAsia="zh-TW"/>
        </w:rPr>
        <w:t>7</w:t>
      </w:r>
      <w:r w:rsidRPr="00BC212C">
        <w:rPr>
          <w:rFonts w:ascii="標楷體" w:eastAsia="標楷體" w:hAnsi="標楷體" w:hint="eastAsia"/>
        </w:rPr>
        <w:t>月</w:t>
      </w:r>
      <w:r w:rsidRPr="00BC212C">
        <w:rPr>
          <w:rFonts w:ascii="標楷體" w:eastAsia="標楷體" w:hAnsi="標楷體" w:hint="eastAsia"/>
          <w:lang w:eastAsia="zh-TW"/>
        </w:rPr>
        <w:t>23</w:t>
      </w:r>
      <w:r w:rsidRPr="00BC212C">
        <w:rPr>
          <w:rFonts w:ascii="標楷體" w:eastAsia="標楷體" w:hAnsi="標楷體" w:hint="eastAsia"/>
        </w:rPr>
        <w:t>日。</w:t>
      </w:r>
    </w:p>
  </w:footnote>
  <w:footnote w:id="39">
    <w:p w:rsidR="005F5D55" w:rsidRPr="00BC212C" w:rsidRDefault="005F5D55" w:rsidP="00196463">
      <w:pPr>
        <w:pStyle w:val="afe"/>
        <w:rPr>
          <w:lang w:eastAsia="zh-TW"/>
        </w:rPr>
      </w:pPr>
      <w:r>
        <w:rPr>
          <w:rStyle w:val="aff0"/>
        </w:rPr>
        <w:footnoteRef/>
      </w:r>
      <w:r>
        <w:rPr>
          <w:rFonts w:hint="eastAsia"/>
          <w:lang w:eastAsia="zh-TW"/>
        </w:rPr>
        <w:t xml:space="preserve"> </w:t>
      </w:r>
      <w:r w:rsidRPr="00BC212C">
        <w:rPr>
          <w:rFonts w:ascii="標楷體" w:eastAsia="標楷體" w:hAnsi="標楷體" w:hint="eastAsia"/>
        </w:rPr>
        <w:t>新聞晨報，「負面清單再縮減，阿特蒙從</w:t>
      </w:r>
      <w:r w:rsidRPr="00BC212C">
        <w:rPr>
          <w:rFonts w:ascii="標楷體" w:eastAsia="標楷體" w:hAnsi="標楷體"/>
          <w:lang w:eastAsia="zh-TW"/>
        </w:rPr>
        <w:t>23</w:t>
      </w:r>
      <w:r w:rsidRPr="00BC212C">
        <w:rPr>
          <w:rFonts w:ascii="標楷體" w:eastAsia="標楷體" w:hAnsi="標楷體" w:hint="eastAsia"/>
        </w:rPr>
        <w:t>家外資醫療機構中勝出」，2014年</w:t>
      </w:r>
      <w:r w:rsidRPr="00BC212C">
        <w:rPr>
          <w:rFonts w:ascii="標楷體" w:eastAsia="標楷體" w:hAnsi="標楷體" w:hint="eastAsia"/>
          <w:lang w:eastAsia="zh-TW"/>
        </w:rPr>
        <w:t>9</w:t>
      </w:r>
      <w:r w:rsidRPr="00BC212C">
        <w:rPr>
          <w:rFonts w:ascii="標楷體" w:eastAsia="標楷體" w:hAnsi="標楷體" w:hint="eastAsia"/>
        </w:rPr>
        <w:t>月</w:t>
      </w:r>
      <w:r w:rsidRPr="00BC212C">
        <w:rPr>
          <w:rFonts w:ascii="標楷體" w:eastAsia="標楷體" w:hAnsi="標楷體" w:hint="eastAsia"/>
          <w:lang w:eastAsia="zh-TW"/>
        </w:rPr>
        <w:t>29</w:t>
      </w:r>
      <w:r w:rsidRPr="00BC212C">
        <w:rPr>
          <w:rFonts w:ascii="標楷體" w:eastAsia="標楷體" w:hAnsi="標楷體" w:hint="eastAsia"/>
        </w:rPr>
        <w:t>日。</w:t>
      </w:r>
    </w:p>
  </w:footnote>
  <w:footnote w:id="40">
    <w:p w:rsidR="005F5D55" w:rsidRDefault="005F5D55" w:rsidP="00196463">
      <w:pPr>
        <w:pStyle w:val="afe"/>
        <w:rPr>
          <w:lang w:eastAsia="zh-TW"/>
        </w:rPr>
      </w:pPr>
      <w:r>
        <w:rPr>
          <w:rStyle w:val="aff0"/>
        </w:rPr>
        <w:footnoteRef/>
      </w:r>
      <w:r>
        <w:rPr>
          <w:rFonts w:hint="eastAsia"/>
          <w:lang w:eastAsia="zh-TW"/>
        </w:rPr>
        <w:t xml:space="preserve"> </w:t>
      </w:r>
      <w:r w:rsidRPr="00BC212C">
        <w:rPr>
          <w:rFonts w:ascii="標楷體" w:eastAsia="標楷體" w:hAnsi="標楷體" w:hint="eastAsia"/>
        </w:rPr>
        <w:t>羊城晚報，「外資獨資在華辦醫開閘</w:t>
      </w:r>
      <w:r w:rsidRPr="00BC212C">
        <w:rPr>
          <w:rFonts w:ascii="標楷體" w:eastAsia="標楷體" w:hAnsi="標楷體"/>
        </w:rPr>
        <w:t>”</w:t>
      </w:r>
      <w:r w:rsidRPr="00BC212C">
        <w:rPr>
          <w:rFonts w:ascii="標楷體" w:eastAsia="標楷體" w:hAnsi="標楷體" w:hint="eastAsia"/>
        </w:rPr>
        <w:t>洋醫院</w:t>
      </w:r>
      <w:r w:rsidRPr="00BC212C">
        <w:rPr>
          <w:rFonts w:ascii="標楷體" w:eastAsia="標楷體" w:hAnsi="標楷體"/>
        </w:rPr>
        <w:t>”</w:t>
      </w:r>
      <w:r w:rsidRPr="00BC212C">
        <w:rPr>
          <w:rFonts w:ascii="標楷體" w:eastAsia="標楷體" w:hAnsi="標楷體" w:hint="eastAsia"/>
        </w:rPr>
        <w:t>恐水土不服」，2014年10月</w:t>
      </w:r>
      <w:r w:rsidRPr="00BC212C">
        <w:rPr>
          <w:rFonts w:ascii="標楷體" w:eastAsia="標楷體" w:hAnsi="標楷體" w:hint="eastAsia"/>
          <w:lang w:eastAsia="zh-TW"/>
        </w:rPr>
        <w:t>11</w:t>
      </w:r>
      <w:r w:rsidRPr="00BC212C">
        <w:rPr>
          <w:rFonts w:ascii="標楷體" w:eastAsia="標楷體" w:hAnsi="標楷體" w:hint="eastAsia"/>
        </w:rPr>
        <w:t>日。</w:t>
      </w:r>
    </w:p>
  </w:footnote>
  <w:footnote w:id="41">
    <w:p w:rsidR="005F5D55" w:rsidRPr="004845A5" w:rsidRDefault="005F5D55" w:rsidP="00196463">
      <w:pPr>
        <w:pStyle w:val="afe"/>
        <w:rPr>
          <w:lang w:eastAsia="zh-TW"/>
        </w:rPr>
      </w:pPr>
      <w:r>
        <w:rPr>
          <w:rStyle w:val="aff0"/>
        </w:rPr>
        <w:footnoteRef/>
      </w:r>
      <w:r>
        <w:rPr>
          <w:rFonts w:hint="eastAsia"/>
          <w:lang w:eastAsia="zh-TW"/>
        </w:rPr>
        <w:t xml:space="preserve"> </w:t>
      </w:r>
      <w:r w:rsidRPr="004845A5">
        <w:rPr>
          <w:rFonts w:ascii="標楷體" w:eastAsia="標楷體" w:hAnsi="標楷體" w:hint="eastAsia"/>
          <w:lang w:eastAsia="zh-TW"/>
        </w:rPr>
        <w:t>經濟參考報，「12個地方自貿區獲國務院批覆 進入多部委調研階段」，2014年1月22日。</w:t>
      </w:r>
    </w:p>
  </w:footnote>
  <w:footnote w:id="42">
    <w:p w:rsidR="005F5D55" w:rsidRDefault="005F5D55" w:rsidP="00196463">
      <w:pPr>
        <w:pStyle w:val="afe"/>
        <w:rPr>
          <w:lang w:eastAsia="zh-TW"/>
        </w:rPr>
      </w:pPr>
      <w:r>
        <w:rPr>
          <w:rStyle w:val="aff0"/>
        </w:rPr>
        <w:footnoteRef/>
      </w:r>
      <w:r>
        <w:t xml:space="preserve"> </w:t>
      </w:r>
      <w:r w:rsidRPr="004845A5">
        <w:rPr>
          <w:rFonts w:ascii="標楷體" w:eastAsia="標楷體" w:hAnsi="標楷體" w:hint="eastAsia"/>
          <w:lang w:eastAsia="zh-TW"/>
        </w:rPr>
        <w:t>中時電子報，「閩津粵 可望同列陸第2批自貿區」，2014年10月25日。</w:t>
      </w:r>
    </w:p>
  </w:footnote>
  <w:footnote w:id="43">
    <w:p w:rsidR="005F5D55" w:rsidRDefault="005F5D55" w:rsidP="004163FA">
      <w:pPr>
        <w:pStyle w:val="afe"/>
        <w:rPr>
          <w:lang w:eastAsia="zh-TW"/>
        </w:rPr>
      </w:pPr>
      <w:r>
        <w:rPr>
          <w:rStyle w:val="aff0"/>
        </w:rPr>
        <w:footnoteRef/>
      </w:r>
      <w:r>
        <w:rPr>
          <w:rFonts w:ascii="標楷體" w:eastAsia="標楷體" w:hAnsi="標楷體" w:hint="eastAsia"/>
          <w:lang w:eastAsia="zh-TW"/>
        </w:rPr>
        <w:t xml:space="preserve"> </w:t>
      </w:r>
      <w:r w:rsidRPr="009A2059">
        <w:rPr>
          <w:rFonts w:ascii="標楷體" w:eastAsia="標楷體" w:hAnsi="標楷體" w:hint="eastAsia"/>
        </w:rPr>
        <w:t>工業機器人</w:t>
      </w:r>
      <w:r>
        <w:rPr>
          <w:rFonts w:ascii="標楷體" w:eastAsia="標楷體" w:hAnsi="標楷體" w:hint="eastAsia"/>
          <w:lang w:eastAsia="zh-TW"/>
        </w:rPr>
        <w:t>依機械結構或作動方式分為</w:t>
      </w:r>
      <w:r w:rsidRPr="009A2059">
        <w:rPr>
          <w:rFonts w:ascii="標楷體" w:eastAsia="標楷體" w:hAnsi="標楷體" w:hint="eastAsia"/>
          <w:lang w:eastAsia="zh-TW"/>
        </w:rPr>
        <w:t>多關節機器人</w:t>
      </w:r>
      <w:r w:rsidRPr="009A2059">
        <w:rPr>
          <w:rFonts w:ascii="標楷體" w:eastAsia="標楷體" w:hAnsi="標楷體" w:hint="eastAsia"/>
          <w:lang w:val="en-US" w:eastAsia="zh-TW"/>
        </w:rPr>
        <w:t>(</w:t>
      </w:r>
      <w:r>
        <w:rPr>
          <w:rFonts w:ascii="標楷體" w:eastAsia="標楷體" w:hAnsi="標楷體" w:hint="eastAsia"/>
          <w:lang w:val="en-US" w:eastAsia="zh-TW"/>
        </w:rPr>
        <w:t>垂直多關節機器人)、</w:t>
      </w:r>
      <w:r w:rsidRPr="009A2059">
        <w:rPr>
          <w:rFonts w:ascii="標楷體" w:eastAsia="標楷體" w:hAnsi="標楷體" w:hint="eastAsia"/>
        </w:rPr>
        <w:t>SCARA機器人</w:t>
      </w:r>
      <w:r>
        <w:rPr>
          <w:rFonts w:ascii="標楷體" w:eastAsia="標楷體" w:hAnsi="標楷體" w:hint="eastAsia"/>
          <w:lang w:eastAsia="zh-TW"/>
        </w:rPr>
        <w:t>(</w:t>
      </w:r>
      <w:r w:rsidRPr="009A2059">
        <w:rPr>
          <w:rFonts w:ascii="標楷體" w:eastAsia="標楷體" w:hAnsi="標楷體"/>
          <w:lang w:eastAsia="zh-TW"/>
        </w:rPr>
        <w:t>Selective Compliance Assembly Robot Arm</w:t>
      </w:r>
      <w:r>
        <w:rPr>
          <w:rFonts w:ascii="標楷體" w:eastAsia="標楷體" w:hAnsi="標楷體" w:hint="eastAsia"/>
          <w:lang w:eastAsia="zh-TW"/>
        </w:rPr>
        <w:t>、</w:t>
      </w:r>
      <w:r w:rsidRPr="009A2059">
        <w:rPr>
          <w:rFonts w:ascii="標楷體" w:eastAsia="標楷體" w:hAnsi="標楷體" w:hint="eastAsia"/>
          <w:lang w:val="en-US" w:eastAsia="zh-TW"/>
        </w:rPr>
        <w:t>水平式多關節機器人</w:t>
      </w:r>
      <w:r>
        <w:rPr>
          <w:rFonts w:ascii="標楷體" w:eastAsia="標楷體" w:hAnsi="標楷體" w:hint="eastAsia"/>
          <w:lang w:eastAsia="zh-TW"/>
        </w:rPr>
        <w:t>)、</w:t>
      </w:r>
      <w:r w:rsidRPr="009A2059">
        <w:rPr>
          <w:rFonts w:ascii="標楷體" w:eastAsia="標楷體" w:hAnsi="標楷體" w:hint="eastAsia"/>
          <w:lang w:eastAsia="zh-TW"/>
        </w:rPr>
        <w:t>平行結構機器人</w:t>
      </w:r>
      <w:r w:rsidRPr="009A2059">
        <w:rPr>
          <w:rFonts w:ascii="標楷體" w:eastAsia="標楷體" w:hAnsi="標楷體"/>
          <w:lang w:val="en-US" w:eastAsia="zh-TW"/>
        </w:rPr>
        <w:t>(Delta robot</w:t>
      </w:r>
      <w:r>
        <w:rPr>
          <w:rFonts w:ascii="標楷體" w:eastAsia="標楷體" w:hAnsi="標楷體" w:hint="eastAsia"/>
          <w:lang w:val="en-US" w:eastAsia="zh-TW"/>
        </w:rPr>
        <w:t>)、</w:t>
      </w:r>
      <w:r w:rsidRPr="009A2059">
        <w:rPr>
          <w:rFonts w:ascii="標楷體" w:eastAsia="標楷體" w:hAnsi="標楷體" w:hint="eastAsia"/>
          <w:lang w:val="en-US" w:eastAsia="zh-TW"/>
        </w:rPr>
        <w:t>直角座標機器人</w:t>
      </w:r>
      <w:r>
        <w:rPr>
          <w:rFonts w:ascii="標楷體" w:eastAsia="標楷體" w:hAnsi="標楷體" w:hint="eastAsia"/>
          <w:lang w:val="en-US" w:eastAsia="zh-TW"/>
        </w:rPr>
        <w:t>(線性機器人)和</w:t>
      </w:r>
      <w:r w:rsidRPr="009A2059">
        <w:rPr>
          <w:rFonts w:ascii="標楷體" w:eastAsia="標楷體" w:hAnsi="標楷體" w:hint="eastAsia"/>
          <w:lang w:val="en-US" w:eastAsia="zh-TW"/>
        </w:rPr>
        <w:t>單軸機器人(單軸機械手</w:t>
      </w:r>
      <w:r>
        <w:rPr>
          <w:rFonts w:ascii="標楷體" w:eastAsia="標楷體" w:hAnsi="標楷體" w:hint="eastAsia"/>
          <w:lang w:val="en-US" w:eastAsia="zh-TW"/>
        </w:rPr>
        <w:t>)等。</w:t>
      </w:r>
    </w:p>
  </w:footnote>
  <w:footnote w:id="44">
    <w:p w:rsidR="005F5D55" w:rsidRPr="009A2059" w:rsidRDefault="005F5D55" w:rsidP="004163FA">
      <w:pPr>
        <w:pStyle w:val="afe"/>
        <w:rPr>
          <w:rFonts w:ascii="標楷體" w:eastAsia="標楷體" w:hAnsi="標楷體"/>
          <w:lang w:val="en-US" w:eastAsia="zh-TW"/>
        </w:rPr>
      </w:pPr>
      <w:r>
        <w:rPr>
          <w:rStyle w:val="aff0"/>
        </w:rPr>
        <w:footnoteRef/>
      </w:r>
      <w:r>
        <w:t xml:space="preserve"> </w:t>
      </w:r>
      <w:r w:rsidRPr="009A2059">
        <w:rPr>
          <w:rFonts w:ascii="標楷體" w:eastAsia="標楷體" w:hAnsi="標楷體" w:hint="eastAsia"/>
          <w:lang w:val="en-US" w:eastAsia="zh-TW"/>
        </w:rPr>
        <w:t>SCARA機器人是一種圓柱坐</w:t>
      </w:r>
      <w:r>
        <w:rPr>
          <w:rFonts w:ascii="標楷體" w:eastAsia="標楷體" w:hAnsi="標楷體" w:hint="eastAsia"/>
          <w:lang w:val="en-US" w:eastAsia="zh-TW"/>
        </w:rPr>
        <w:t>標型的特殊類型的工業機器人，共</w:t>
      </w:r>
      <w:r w:rsidRPr="009A2059">
        <w:rPr>
          <w:rFonts w:ascii="標楷體" w:eastAsia="標楷體" w:hAnsi="標楷體" w:hint="eastAsia"/>
          <w:lang w:val="en-US" w:eastAsia="zh-TW"/>
        </w:rPr>
        <w:t>有3個旋轉關節，其軸線相互平行，在平面內進行定位和定向。</w:t>
      </w:r>
    </w:p>
  </w:footnote>
  <w:footnote w:id="45">
    <w:p w:rsidR="005F5D55" w:rsidRPr="00EC3343" w:rsidRDefault="005F5D55" w:rsidP="004163FA">
      <w:pPr>
        <w:pStyle w:val="afe"/>
        <w:rPr>
          <w:rFonts w:ascii="標楷體" w:eastAsia="標楷體" w:hAnsi="標楷體"/>
          <w:lang w:val="en-US" w:eastAsia="zh-TW"/>
        </w:rPr>
      </w:pPr>
      <w:r>
        <w:rPr>
          <w:rStyle w:val="aff0"/>
        </w:rPr>
        <w:footnoteRef/>
      </w:r>
      <w:r>
        <w:rPr>
          <w:rFonts w:ascii="標楷體" w:eastAsia="標楷體" w:hAnsi="標楷體" w:hint="eastAsia"/>
          <w:lang w:eastAsia="zh-TW"/>
        </w:rPr>
        <w:t xml:space="preserve"> </w:t>
      </w:r>
      <w:r w:rsidRPr="004F1026">
        <w:rPr>
          <w:rFonts w:eastAsia="標楷體"/>
          <w:lang w:val="en-US" w:eastAsia="zh-TW"/>
        </w:rPr>
        <w:t>Delta robot</w:t>
      </w:r>
      <w:r w:rsidRPr="004F1026">
        <w:rPr>
          <w:rFonts w:eastAsia="標楷體"/>
          <w:lang w:val="en-US" w:eastAsia="zh-TW"/>
        </w:rPr>
        <w:t>又稱</w:t>
      </w:r>
      <w:r w:rsidRPr="004F1026">
        <w:rPr>
          <w:rFonts w:eastAsia="標楷體"/>
          <w:lang w:eastAsia="zh-TW"/>
        </w:rPr>
        <w:t>平行結構機器人、蜘蛛型機器人</w:t>
      </w:r>
      <w:r w:rsidRPr="004F1026">
        <w:rPr>
          <w:rFonts w:eastAsia="標楷體"/>
          <w:lang w:val="en-US" w:eastAsia="zh-TW"/>
        </w:rPr>
        <w:t>，是仿生機器人，在外型和功能上都比擬蜘蛛的機器人。特色是應用在夾取小型且重量輕的工件，它具有移動速度快，定位速度高以及成本低的絕對優勢。</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D2468"/>
    <w:multiLevelType w:val="hybridMultilevel"/>
    <w:tmpl w:val="CCE886FC"/>
    <w:lvl w:ilvl="0" w:tplc="0409000F">
      <w:start w:val="1"/>
      <w:numFmt w:val="decimal"/>
      <w:lvlText w:val="%1."/>
      <w:lvlJc w:val="left"/>
      <w:pPr>
        <w:ind w:left="1000" w:hanging="480"/>
      </w:p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
    <w:nsid w:val="12CB185C"/>
    <w:multiLevelType w:val="hybridMultilevel"/>
    <w:tmpl w:val="7B0A9C48"/>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2">
    <w:nsid w:val="18F65806"/>
    <w:multiLevelType w:val="hybridMultilevel"/>
    <w:tmpl w:val="56D0BB92"/>
    <w:lvl w:ilvl="0" w:tplc="04090001">
      <w:start w:val="1"/>
      <w:numFmt w:val="bullet"/>
      <w:lvlText w:val=""/>
      <w:lvlJc w:val="left"/>
      <w:pPr>
        <w:ind w:left="1080" w:hanging="480"/>
      </w:pPr>
      <w:rPr>
        <w:rFonts w:ascii="Wingdings" w:hAnsi="Wingdings" w:hint="default"/>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3">
    <w:nsid w:val="1C0472F0"/>
    <w:multiLevelType w:val="hybridMultilevel"/>
    <w:tmpl w:val="57D04918"/>
    <w:lvl w:ilvl="0" w:tplc="F21478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9B12BF"/>
    <w:multiLevelType w:val="hybridMultilevel"/>
    <w:tmpl w:val="BE64A234"/>
    <w:lvl w:ilvl="0" w:tplc="04090001">
      <w:start w:val="1"/>
      <w:numFmt w:val="bullet"/>
      <w:lvlText w:val=""/>
      <w:lvlJc w:val="left"/>
      <w:pPr>
        <w:ind w:left="1080" w:hanging="480"/>
      </w:pPr>
      <w:rPr>
        <w:rFonts w:ascii="Wingdings" w:hAnsi="Wingdings" w:hint="default"/>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5">
    <w:nsid w:val="1DF45B34"/>
    <w:multiLevelType w:val="hybridMultilevel"/>
    <w:tmpl w:val="DEEE0E94"/>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6">
    <w:nsid w:val="2A913594"/>
    <w:multiLevelType w:val="hybridMultilevel"/>
    <w:tmpl w:val="58A88B60"/>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7">
    <w:nsid w:val="2E0524E6"/>
    <w:multiLevelType w:val="hybridMultilevel"/>
    <w:tmpl w:val="82A2E770"/>
    <w:lvl w:ilvl="0" w:tplc="04090001">
      <w:start w:val="1"/>
      <w:numFmt w:val="bullet"/>
      <w:lvlText w:val=""/>
      <w:lvlJc w:val="left"/>
      <w:pPr>
        <w:ind w:left="1000" w:hanging="480"/>
      </w:pPr>
      <w:rPr>
        <w:rFonts w:ascii="Wingdings" w:hAnsi="Wingdings" w:hint="default"/>
      </w:rPr>
    </w:lvl>
    <w:lvl w:ilvl="1" w:tplc="0409000D">
      <w:start w:val="1"/>
      <w:numFmt w:val="bullet"/>
      <w:lvlText w:val=""/>
      <w:lvlJc w:val="left"/>
      <w:pPr>
        <w:ind w:left="1480" w:hanging="48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F0501CB"/>
    <w:multiLevelType w:val="hybridMultilevel"/>
    <w:tmpl w:val="C3541B28"/>
    <w:lvl w:ilvl="0" w:tplc="F21478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4247D4A"/>
    <w:multiLevelType w:val="hybridMultilevel"/>
    <w:tmpl w:val="86ECAD82"/>
    <w:lvl w:ilvl="0" w:tplc="F21478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43C2048"/>
    <w:multiLevelType w:val="hybridMultilevel"/>
    <w:tmpl w:val="252C95F4"/>
    <w:lvl w:ilvl="0" w:tplc="F21478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9E54292"/>
    <w:multiLevelType w:val="hybridMultilevel"/>
    <w:tmpl w:val="63CAAF2C"/>
    <w:lvl w:ilvl="0" w:tplc="044E7AA4">
      <w:start w:val="1"/>
      <w:numFmt w:val="decimal"/>
      <w:lvlText w:val="%1."/>
      <w:lvlJc w:val="left"/>
      <w:pPr>
        <w:tabs>
          <w:tab w:val="num" w:pos="295"/>
        </w:tabs>
        <w:ind w:left="295" w:hanging="360"/>
      </w:pPr>
    </w:lvl>
    <w:lvl w:ilvl="1" w:tplc="04090019">
      <w:start w:val="1"/>
      <w:numFmt w:val="ideographTraditional"/>
      <w:lvlText w:val="%2、"/>
      <w:lvlJc w:val="left"/>
      <w:pPr>
        <w:tabs>
          <w:tab w:val="num" w:pos="895"/>
        </w:tabs>
        <w:ind w:left="895" w:hanging="480"/>
      </w:pPr>
    </w:lvl>
    <w:lvl w:ilvl="2" w:tplc="0409001B">
      <w:start w:val="1"/>
      <w:numFmt w:val="lowerRoman"/>
      <w:lvlText w:val="%3."/>
      <w:lvlJc w:val="right"/>
      <w:pPr>
        <w:tabs>
          <w:tab w:val="num" w:pos="1375"/>
        </w:tabs>
        <w:ind w:left="1375" w:hanging="480"/>
      </w:pPr>
    </w:lvl>
    <w:lvl w:ilvl="3" w:tplc="0409000F">
      <w:start w:val="1"/>
      <w:numFmt w:val="decimal"/>
      <w:lvlText w:val="%4."/>
      <w:lvlJc w:val="left"/>
      <w:pPr>
        <w:tabs>
          <w:tab w:val="num" w:pos="1855"/>
        </w:tabs>
        <w:ind w:left="1855" w:hanging="480"/>
      </w:pPr>
    </w:lvl>
    <w:lvl w:ilvl="4" w:tplc="04090019">
      <w:start w:val="1"/>
      <w:numFmt w:val="ideographTraditional"/>
      <w:lvlText w:val="%5、"/>
      <w:lvlJc w:val="left"/>
      <w:pPr>
        <w:tabs>
          <w:tab w:val="num" w:pos="2335"/>
        </w:tabs>
        <w:ind w:left="2335" w:hanging="480"/>
      </w:pPr>
    </w:lvl>
    <w:lvl w:ilvl="5" w:tplc="0409001B">
      <w:start w:val="1"/>
      <w:numFmt w:val="lowerRoman"/>
      <w:lvlText w:val="%6."/>
      <w:lvlJc w:val="right"/>
      <w:pPr>
        <w:tabs>
          <w:tab w:val="num" w:pos="2815"/>
        </w:tabs>
        <w:ind w:left="2815" w:hanging="480"/>
      </w:pPr>
    </w:lvl>
    <w:lvl w:ilvl="6" w:tplc="0409000F">
      <w:start w:val="1"/>
      <w:numFmt w:val="decimal"/>
      <w:lvlText w:val="%7."/>
      <w:lvlJc w:val="left"/>
      <w:pPr>
        <w:tabs>
          <w:tab w:val="num" w:pos="3295"/>
        </w:tabs>
        <w:ind w:left="3295" w:hanging="480"/>
      </w:pPr>
    </w:lvl>
    <w:lvl w:ilvl="7" w:tplc="04090019">
      <w:start w:val="1"/>
      <w:numFmt w:val="ideographTraditional"/>
      <w:lvlText w:val="%8、"/>
      <w:lvlJc w:val="left"/>
      <w:pPr>
        <w:tabs>
          <w:tab w:val="num" w:pos="3775"/>
        </w:tabs>
        <w:ind w:left="3775" w:hanging="480"/>
      </w:pPr>
    </w:lvl>
    <w:lvl w:ilvl="8" w:tplc="0409001B">
      <w:start w:val="1"/>
      <w:numFmt w:val="lowerRoman"/>
      <w:lvlText w:val="%9."/>
      <w:lvlJc w:val="right"/>
      <w:pPr>
        <w:tabs>
          <w:tab w:val="num" w:pos="4255"/>
        </w:tabs>
        <w:ind w:left="4255" w:hanging="480"/>
      </w:pPr>
    </w:lvl>
  </w:abstractNum>
  <w:abstractNum w:abstractNumId="12">
    <w:nsid w:val="43BE031C"/>
    <w:multiLevelType w:val="hybridMultilevel"/>
    <w:tmpl w:val="8C725F50"/>
    <w:lvl w:ilvl="0" w:tplc="3174A3A6">
      <w:start w:val="1"/>
      <w:numFmt w:val="decimal"/>
      <w:lvlText w:val="%1."/>
      <w:lvlJc w:val="left"/>
      <w:pPr>
        <w:ind w:left="298" w:hanging="360"/>
      </w:pPr>
    </w:lvl>
    <w:lvl w:ilvl="1" w:tplc="04090019">
      <w:start w:val="1"/>
      <w:numFmt w:val="ideographTraditional"/>
      <w:lvlText w:val="%2、"/>
      <w:lvlJc w:val="left"/>
      <w:pPr>
        <w:ind w:left="898" w:hanging="480"/>
      </w:pPr>
    </w:lvl>
    <w:lvl w:ilvl="2" w:tplc="0409001B">
      <w:start w:val="1"/>
      <w:numFmt w:val="lowerRoman"/>
      <w:lvlText w:val="%3."/>
      <w:lvlJc w:val="right"/>
      <w:pPr>
        <w:ind w:left="1378" w:hanging="480"/>
      </w:pPr>
    </w:lvl>
    <w:lvl w:ilvl="3" w:tplc="0409000F">
      <w:start w:val="1"/>
      <w:numFmt w:val="decimal"/>
      <w:lvlText w:val="%4."/>
      <w:lvlJc w:val="left"/>
      <w:pPr>
        <w:ind w:left="1858" w:hanging="480"/>
      </w:pPr>
    </w:lvl>
    <w:lvl w:ilvl="4" w:tplc="04090019">
      <w:start w:val="1"/>
      <w:numFmt w:val="ideographTraditional"/>
      <w:lvlText w:val="%5、"/>
      <w:lvlJc w:val="left"/>
      <w:pPr>
        <w:ind w:left="2338" w:hanging="480"/>
      </w:pPr>
    </w:lvl>
    <w:lvl w:ilvl="5" w:tplc="0409001B">
      <w:start w:val="1"/>
      <w:numFmt w:val="lowerRoman"/>
      <w:lvlText w:val="%6."/>
      <w:lvlJc w:val="right"/>
      <w:pPr>
        <w:ind w:left="2818" w:hanging="480"/>
      </w:pPr>
    </w:lvl>
    <w:lvl w:ilvl="6" w:tplc="0409000F">
      <w:start w:val="1"/>
      <w:numFmt w:val="decimal"/>
      <w:lvlText w:val="%7."/>
      <w:lvlJc w:val="left"/>
      <w:pPr>
        <w:ind w:left="3298" w:hanging="480"/>
      </w:pPr>
    </w:lvl>
    <w:lvl w:ilvl="7" w:tplc="04090019">
      <w:start w:val="1"/>
      <w:numFmt w:val="ideographTraditional"/>
      <w:lvlText w:val="%8、"/>
      <w:lvlJc w:val="left"/>
      <w:pPr>
        <w:ind w:left="3778" w:hanging="480"/>
      </w:pPr>
    </w:lvl>
    <w:lvl w:ilvl="8" w:tplc="0409001B">
      <w:start w:val="1"/>
      <w:numFmt w:val="lowerRoman"/>
      <w:lvlText w:val="%9."/>
      <w:lvlJc w:val="right"/>
      <w:pPr>
        <w:ind w:left="4258" w:hanging="480"/>
      </w:pPr>
    </w:lvl>
  </w:abstractNum>
  <w:abstractNum w:abstractNumId="13">
    <w:nsid w:val="4AB540BD"/>
    <w:multiLevelType w:val="hybridMultilevel"/>
    <w:tmpl w:val="B8D0962E"/>
    <w:lvl w:ilvl="0" w:tplc="04090001">
      <w:start w:val="1"/>
      <w:numFmt w:val="bullet"/>
      <w:lvlText w:val=""/>
      <w:lvlJc w:val="left"/>
      <w:pPr>
        <w:ind w:left="1000" w:hanging="480"/>
      </w:pPr>
      <w:rPr>
        <w:rFonts w:ascii="Wingdings" w:hAnsi="Wingdings" w:hint="default"/>
      </w:rPr>
    </w:lvl>
    <w:lvl w:ilvl="1" w:tplc="04090009">
      <w:start w:val="1"/>
      <w:numFmt w:val="bullet"/>
      <w:lvlText w:val=""/>
      <w:lvlJc w:val="left"/>
      <w:pPr>
        <w:ind w:left="1480" w:hanging="48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AED183C"/>
    <w:multiLevelType w:val="hybridMultilevel"/>
    <w:tmpl w:val="C1685D4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4AF97CC1"/>
    <w:multiLevelType w:val="hybridMultilevel"/>
    <w:tmpl w:val="BCD6EF08"/>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6">
    <w:nsid w:val="50465844"/>
    <w:multiLevelType w:val="hybridMultilevel"/>
    <w:tmpl w:val="01B0F414"/>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7">
    <w:nsid w:val="523D3ACC"/>
    <w:multiLevelType w:val="hybridMultilevel"/>
    <w:tmpl w:val="3A682F44"/>
    <w:lvl w:ilvl="0" w:tplc="D848D544">
      <w:start w:val="4"/>
      <w:numFmt w:val="taiwaneseCountingThousand"/>
      <w:lvlText w:val="第%1章"/>
      <w:lvlJc w:val="left"/>
      <w:pPr>
        <w:tabs>
          <w:tab w:val="num" w:pos="1564"/>
        </w:tabs>
        <w:ind w:left="1564" w:hanging="1044"/>
      </w:pPr>
      <w:rPr>
        <w:rFonts w:hint="default"/>
      </w:rPr>
    </w:lvl>
    <w:lvl w:ilvl="1" w:tplc="04090019" w:tentative="1">
      <w:start w:val="1"/>
      <w:numFmt w:val="ideographTraditional"/>
      <w:lvlText w:val="%2、"/>
      <w:lvlJc w:val="left"/>
      <w:pPr>
        <w:tabs>
          <w:tab w:val="num" w:pos="1480"/>
        </w:tabs>
        <w:ind w:left="1480" w:hanging="480"/>
      </w:pPr>
    </w:lvl>
    <w:lvl w:ilvl="2" w:tplc="0409001B" w:tentative="1">
      <w:start w:val="1"/>
      <w:numFmt w:val="lowerRoman"/>
      <w:lvlText w:val="%3."/>
      <w:lvlJc w:val="right"/>
      <w:pPr>
        <w:tabs>
          <w:tab w:val="num" w:pos="1960"/>
        </w:tabs>
        <w:ind w:left="1960" w:hanging="480"/>
      </w:pPr>
    </w:lvl>
    <w:lvl w:ilvl="3" w:tplc="0409000F" w:tentative="1">
      <w:start w:val="1"/>
      <w:numFmt w:val="decimal"/>
      <w:lvlText w:val="%4."/>
      <w:lvlJc w:val="left"/>
      <w:pPr>
        <w:tabs>
          <w:tab w:val="num" w:pos="2440"/>
        </w:tabs>
        <w:ind w:left="2440" w:hanging="480"/>
      </w:pPr>
    </w:lvl>
    <w:lvl w:ilvl="4" w:tplc="04090019" w:tentative="1">
      <w:start w:val="1"/>
      <w:numFmt w:val="ideographTraditional"/>
      <w:lvlText w:val="%5、"/>
      <w:lvlJc w:val="left"/>
      <w:pPr>
        <w:tabs>
          <w:tab w:val="num" w:pos="2920"/>
        </w:tabs>
        <w:ind w:left="2920" w:hanging="480"/>
      </w:pPr>
    </w:lvl>
    <w:lvl w:ilvl="5" w:tplc="0409001B" w:tentative="1">
      <w:start w:val="1"/>
      <w:numFmt w:val="lowerRoman"/>
      <w:lvlText w:val="%6."/>
      <w:lvlJc w:val="right"/>
      <w:pPr>
        <w:tabs>
          <w:tab w:val="num" w:pos="3400"/>
        </w:tabs>
        <w:ind w:left="3400" w:hanging="480"/>
      </w:pPr>
    </w:lvl>
    <w:lvl w:ilvl="6" w:tplc="0409000F" w:tentative="1">
      <w:start w:val="1"/>
      <w:numFmt w:val="decimal"/>
      <w:lvlText w:val="%7."/>
      <w:lvlJc w:val="left"/>
      <w:pPr>
        <w:tabs>
          <w:tab w:val="num" w:pos="3880"/>
        </w:tabs>
        <w:ind w:left="3880" w:hanging="480"/>
      </w:pPr>
    </w:lvl>
    <w:lvl w:ilvl="7" w:tplc="04090019" w:tentative="1">
      <w:start w:val="1"/>
      <w:numFmt w:val="ideographTraditional"/>
      <w:lvlText w:val="%8、"/>
      <w:lvlJc w:val="left"/>
      <w:pPr>
        <w:tabs>
          <w:tab w:val="num" w:pos="4360"/>
        </w:tabs>
        <w:ind w:left="4360" w:hanging="480"/>
      </w:pPr>
    </w:lvl>
    <w:lvl w:ilvl="8" w:tplc="0409001B" w:tentative="1">
      <w:start w:val="1"/>
      <w:numFmt w:val="lowerRoman"/>
      <w:lvlText w:val="%9."/>
      <w:lvlJc w:val="right"/>
      <w:pPr>
        <w:tabs>
          <w:tab w:val="num" w:pos="4840"/>
        </w:tabs>
        <w:ind w:left="4840" w:hanging="480"/>
      </w:pPr>
    </w:lvl>
  </w:abstractNum>
  <w:abstractNum w:abstractNumId="18">
    <w:nsid w:val="580F7970"/>
    <w:multiLevelType w:val="hybridMultilevel"/>
    <w:tmpl w:val="371EE9A6"/>
    <w:lvl w:ilvl="0" w:tplc="EF483324">
      <w:start w:val="1"/>
      <w:numFmt w:val="decimal"/>
      <w:lvlText w:val="%1."/>
      <w:lvlJc w:val="left"/>
      <w:pPr>
        <w:ind w:left="1240" w:hanging="72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9">
    <w:nsid w:val="5E215F20"/>
    <w:multiLevelType w:val="hybridMultilevel"/>
    <w:tmpl w:val="27CAD154"/>
    <w:lvl w:ilvl="0" w:tplc="F21478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62E44EA"/>
    <w:multiLevelType w:val="hybridMultilevel"/>
    <w:tmpl w:val="C3541B28"/>
    <w:lvl w:ilvl="0" w:tplc="F21478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7EE670D"/>
    <w:multiLevelType w:val="hybridMultilevel"/>
    <w:tmpl w:val="5E3A2F6C"/>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22">
    <w:nsid w:val="69BE61F8"/>
    <w:multiLevelType w:val="hybridMultilevel"/>
    <w:tmpl w:val="52225530"/>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23">
    <w:nsid w:val="6E1C78E0"/>
    <w:multiLevelType w:val="hybridMultilevel"/>
    <w:tmpl w:val="31562796"/>
    <w:lvl w:ilvl="0" w:tplc="D8EC75CA">
      <w:start w:val="1"/>
      <w:numFmt w:val="taiwaneseCountingThousand"/>
      <w:lvlText w:val="第%1節"/>
      <w:lvlJc w:val="left"/>
      <w:pPr>
        <w:tabs>
          <w:tab w:val="num" w:pos="1848"/>
        </w:tabs>
        <w:ind w:left="1848" w:hanging="184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E8C3C54"/>
    <w:multiLevelType w:val="hybridMultilevel"/>
    <w:tmpl w:val="39F85E44"/>
    <w:lvl w:ilvl="0" w:tplc="04090001">
      <w:start w:val="1"/>
      <w:numFmt w:val="bullet"/>
      <w:lvlText w:val=""/>
      <w:lvlJc w:val="left"/>
      <w:pPr>
        <w:ind w:left="1000" w:hanging="480"/>
      </w:pPr>
      <w:rPr>
        <w:rFonts w:ascii="Wingdings" w:hAnsi="Wingdings" w:hint="default"/>
      </w:rPr>
    </w:lvl>
    <w:lvl w:ilvl="1" w:tplc="04090003">
      <w:start w:val="1"/>
      <w:numFmt w:val="bullet"/>
      <w:lvlText w:val=""/>
      <w:lvlJc w:val="left"/>
      <w:pPr>
        <w:ind w:left="1480" w:hanging="48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03441D5"/>
    <w:multiLevelType w:val="hybridMultilevel"/>
    <w:tmpl w:val="8D2650B8"/>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26">
    <w:nsid w:val="77E97725"/>
    <w:multiLevelType w:val="hybridMultilevel"/>
    <w:tmpl w:val="56488C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0"/>
  </w:num>
  <w:num w:numId="4">
    <w:abstractNumId w:val="18"/>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5"/>
  </w:num>
  <w:num w:numId="9">
    <w:abstractNumId w:val="6"/>
  </w:num>
  <w:num w:numId="1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5"/>
  </w:num>
  <w:num w:numId="15">
    <w:abstractNumId w:val="4"/>
  </w:num>
  <w:num w:numId="16">
    <w:abstractNumId w:val="2"/>
  </w:num>
  <w:num w:numId="17">
    <w:abstractNumId w:val="13"/>
  </w:num>
  <w:num w:numId="18">
    <w:abstractNumId w:val="7"/>
  </w:num>
  <w:num w:numId="19">
    <w:abstractNumId w:val="19"/>
  </w:num>
  <w:num w:numId="20">
    <w:abstractNumId w:val="9"/>
  </w:num>
  <w:num w:numId="21">
    <w:abstractNumId w:val="10"/>
  </w:num>
  <w:num w:numId="22">
    <w:abstractNumId w:val="8"/>
  </w:num>
  <w:num w:numId="23">
    <w:abstractNumId w:val="3"/>
  </w:num>
  <w:num w:numId="24">
    <w:abstractNumId w:val="20"/>
  </w:num>
  <w:num w:numId="25">
    <w:abstractNumId w:val="26"/>
  </w:num>
  <w:num w:numId="2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1"/>
  </w:num>
  <w:num w:numId="31">
    <w:abstractNumId w:val="1"/>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36E"/>
    <w:rsid w:val="0000001B"/>
    <w:rsid w:val="00000445"/>
    <w:rsid w:val="00000EE5"/>
    <w:rsid w:val="000010A3"/>
    <w:rsid w:val="000019A0"/>
    <w:rsid w:val="00002173"/>
    <w:rsid w:val="000041FD"/>
    <w:rsid w:val="000056C1"/>
    <w:rsid w:val="00006995"/>
    <w:rsid w:val="000073A3"/>
    <w:rsid w:val="00010236"/>
    <w:rsid w:val="000105E3"/>
    <w:rsid w:val="000112E4"/>
    <w:rsid w:val="0001182B"/>
    <w:rsid w:val="00011BD3"/>
    <w:rsid w:val="00013510"/>
    <w:rsid w:val="00013BAA"/>
    <w:rsid w:val="00017455"/>
    <w:rsid w:val="00017AC4"/>
    <w:rsid w:val="00017E7A"/>
    <w:rsid w:val="0002029D"/>
    <w:rsid w:val="00020791"/>
    <w:rsid w:val="00020CF5"/>
    <w:rsid w:val="00021B1B"/>
    <w:rsid w:val="00021E46"/>
    <w:rsid w:val="00022861"/>
    <w:rsid w:val="00023151"/>
    <w:rsid w:val="000237F3"/>
    <w:rsid w:val="00025B9E"/>
    <w:rsid w:val="00026AA0"/>
    <w:rsid w:val="00027F56"/>
    <w:rsid w:val="00030EC4"/>
    <w:rsid w:val="00032014"/>
    <w:rsid w:val="000324F4"/>
    <w:rsid w:val="00032EE2"/>
    <w:rsid w:val="000330D7"/>
    <w:rsid w:val="0003402B"/>
    <w:rsid w:val="0003435B"/>
    <w:rsid w:val="00037056"/>
    <w:rsid w:val="0003754F"/>
    <w:rsid w:val="00041205"/>
    <w:rsid w:val="0004372C"/>
    <w:rsid w:val="00044094"/>
    <w:rsid w:val="00045E6C"/>
    <w:rsid w:val="000463BC"/>
    <w:rsid w:val="0004649C"/>
    <w:rsid w:val="000469AC"/>
    <w:rsid w:val="00046B6D"/>
    <w:rsid w:val="00051CB4"/>
    <w:rsid w:val="0005260A"/>
    <w:rsid w:val="00052AF8"/>
    <w:rsid w:val="00052CCA"/>
    <w:rsid w:val="00053CF2"/>
    <w:rsid w:val="000547AD"/>
    <w:rsid w:val="00054DD3"/>
    <w:rsid w:val="000553EF"/>
    <w:rsid w:val="00055653"/>
    <w:rsid w:val="00057A8C"/>
    <w:rsid w:val="00057AA9"/>
    <w:rsid w:val="000603EF"/>
    <w:rsid w:val="00060447"/>
    <w:rsid w:val="0006047C"/>
    <w:rsid w:val="00061357"/>
    <w:rsid w:val="00061D96"/>
    <w:rsid w:val="000620EE"/>
    <w:rsid w:val="000620F1"/>
    <w:rsid w:val="000623CB"/>
    <w:rsid w:val="000654DD"/>
    <w:rsid w:val="00065572"/>
    <w:rsid w:val="000656B6"/>
    <w:rsid w:val="0006708A"/>
    <w:rsid w:val="0006715F"/>
    <w:rsid w:val="000672A3"/>
    <w:rsid w:val="000676D0"/>
    <w:rsid w:val="00067B1A"/>
    <w:rsid w:val="00070051"/>
    <w:rsid w:val="000702BA"/>
    <w:rsid w:val="00070DEF"/>
    <w:rsid w:val="00072853"/>
    <w:rsid w:val="00073043"/>
    <w:rsid w:val="000737B6"/>
    <w:rsid w:val="00074636"/>
    <w:rsid w:val="000765B0"/>
    <w:rsid w:val="00076F42"/>
    <w:rsid w:val="00077230"/>
    <w:rsid w:val="0007767A"/>
    <w:rsid w:val="00080379"/>
    <w:rsid w:val="00080C4B"/>
    <w:rsid w:val="0008151C"/>
    <w:rsid w:val="0008196F"/>
    <w:rsid w:val="00081E6B"/>
    <w:rsid w:val="000830A8"/>
    <w:rsid w:val="00083F3A"/>
    <w:rsid w:val="000840D9"/>
    <w:rsid w:val="00084740"/>
    <w:rsid w:val="00084CC6"/>
    <w:rsid w:val="00084E6D"/>
    <w:rsid w:val="00086EC6"/>
    <w:rsid w:val="0009049B"/>
    <w:rsid w:val="00090724"/>
    <w:rsid w:val="00091E48"/>
    <w:rsid w:val="0009211D"/>
    <w:rsid w:val="0009350B"/>
    <w:rsid w:val="00093EBD"/>
    <w:rsid w:val="000951F5"/>
    <w:rsid w:val="00095385"/>
    <w:rsid w:val="000962C5"/>
    <w:rsid w:val="00096FF2"/>
    <w:rsid w:val="00097F7F"/>
    <w:rsid w:val="00097FDA"/>
    <w:rsid w:val="000A09DB"/>
    <w:rsid w:val="000A0C80"/>
    <w:rsid w:val="000A150E"/>
    <w:rsid w:val="000A1958"/>
    <w:rsid w:val="000A1BC8"/>
    <w:rsid w:val="000A209D"/>
    <w:rsid w:val="000A2321"/>
    <w:rsid w:val="000A3182"/>
    <w:rsid w:val="000A4310"/>
    <w:rsid w:val="000A6765"/>
    <w:rsid w:val="000A6B72"/>
    <w:rsid w:val="000B0491"/>
    <w:rsid w:val="000B0FEE"/>
    <w:rsid w:val="000B1356"/>
    <w:rsid w:val="000B1E67"/>
    <w:rsid w:val="000B39F1"/>
    <w:rsid w:val="000B3A81"/>
    <w:rsid w:val="000B407D"/>
    <w:rsid w:val="000B4D31"/>
    <w:rsid w:val="000B4FE5"/>
    <w:rsid w:val="000B6120"/>
    <w:rsid w:val="000B6F1A"/>
    <w:rsid w:val="000C07DA"/>
    <w:rsid w:val="000C1008"/>
    <w:rsid w:val="000C1AD5"/>
    <w:rsid w:val="000C2576"/>
    <w:rsid w:val="000C25F6"/>
    <w:rsid w:val="000C2D00"/>
    <w:rsid w:val="000C2FC3"/>
    <w:rsid w:val="000C39F9"/>
    <w:rsid w:val="000C3E9C"/>
    <w:rsid w:val="000C4013"/>
    <w:rsid w:val="000C4190"/>
    <w:rsid w:val="000C59FF"/>
    <w:rsid w:val="000C5B3D"/>
    <w:rsid w:val="000C5BF4"/>
    <w:rsid w:val="000C68DE"/>
    <w:rsid w:val="000C7BB1"/>
    <w:rsid w:val="000D2F5C"/>
    <w:rsid w:val="000D2FDD"/>
    <w:rsid w:val="000D51AB"/>
    <w:rsid w:val="000D5C75"/>
    <w:rsid w:val="000D5F10"/>
    <w:rsid w:val="000D7AE1"/>
    <w:rsid w:val="000D7FB3"/>
    <w:rsid w:val="000E02FE"/>
    <w:rsid w:val="000E0828"/>
    <w:rsid w:val="000E1E07"/>
    <w:rsid w:val="000E2890"/>
    <w:rsid w:val="000E30A6"/>
    <w:rsid w:val="000E3E39"/>
    <w:rsid w:val="000E5C17"/>
    <w:rsid w:val="000E60F9"/>
    <w:rsid w:val="000E6A45"/>
    <w:rsid w:val="000E6B8A"/>
    <w:rsid w:val="000F06AF"/>
    <w:rsid w:val="000F15EC"/>
    <w:rsid w:val="000F1760"/>
    <w:rsid w:val="000F1EF2"/>
    <w:rsid w:val="000F277A"/>
    <w:rsid w:val="000F30F5"/>
    <w:rsid w:val="000F401A"/>
    <w:rsid w:val="000F4402"/>
    <w:rsid w:val="000F4871"/>
    <w:rsid w:val="000F5C2E"/>
    <w:rsid w:val="000F669C"/>
    <w:rsid w:val="000F6EDE"/>
    <w:rsid w:val="00101538"/>
    <w:rsid w:val="00101AEC"/>
    <w:rsid w:val="00101DD2"/>
    <w:rsid w:val="00104773"/>
    <w:rsid w:val="00104833"/>
    <w:rsid w:val="00105544"/>
    <w:rsid w:val="001056B6"/>
    <w:rsid w:val="00106249"/>
    <w:rsid w:val="001075D0"/>
    <w:rsid w:val="0010777E"/>
    <w:rsid w:val="00107DED"/>
    <w:rsid w:val="0011131B"/>
    <w:rsid w:val="00111D44"/>
    <w:rsid w:val="00111ECF"/>
    <w:rsid w:val="00113E28"/>
    <w:rsid w:val="00114FD7"/>
    <w:rsid w:val="001169D5"/>
    <w:rsid w:val="001218B0"/>
    <w:rsid w:val="00123103"/>
    <w:rsid w:val="0012483F"/>
    <w:rsid w:val="00124D75"/>
    <w:rsid w:val="00124FAB"/>
    <w:rsid w:val="0012621B"/>
    <w:rsid w:val="001274F3"/>
    <w:rsid w:val="0013102A"/>
    <w:rsid w:val="0013183C"/>
    <w:rsid w:val="00131D85"/>
    <w:rsid w:val="00132294"/>
    <w:rsid w:val="00132609"/>
    <w:rsid w:val="00132AC3"/>
    <w:rsid w:val="0013364D"/>
    <w:rsid w:val="001349E1"/>
    <w:rsid w:val="00135F9B"/>
    <w:rsid w:val="00136805"/>
    <w:rsid w:val="001374A5"/>
    <w:rsid w:val="00137733"/>
    <w:rsid w:val="001377DA"/>
    <w:rsid w:val="00144386"/>
    <w:rsid w:val="0014469C"/>
    <w:rsid w:val="00144936"/>
    <w:rsid w:val="00144BE6"/>
    <w:rsid w:val="00145EA3"/>
    <w:rsid w:val="0014795C"/>
    <w:rsid w:val="00147E66"/>
    <w:rsid w:val="001501BD"/>
    <w:rsid w:val="00150EF9"/>
    <w:rsid w:val="00151026"/>
    <w:rsid w:val="001515A6"/>
    <w:rsid w:val="00151DB2"/>
    <w:rsid w:val="001539CC"/>
    <w:rsid w:val="00154439"/>
    <w:rsid w:val="00155D97"/>
    <w:rsid w:val="00156A13"/>
    <w:rsid w:val="00157E73"/>
    <w:rsid w:val="00160D66"/>
    <w:rsid w:val="001615AC"/>
    <w:rsid w:val="001636F3"/>
    <w:rsid w:val="00164AC1"/>
    <w:rsid w:val="00164EE4"/>
    <w:rsid w:val="00165B98"/>
    <w:rsid w:val="00166191"/>
    <w:rsid w:val="00166ADB"/>
    <w:rsid w:val="00166C4F"/>
    <w:rsid w:val="001675D5"/>
    <w:rsid w:val="00173471"/>
    <w:rsid w:val="001737FF"/>
    <w:rsid w:val="0017389E"/>
    <w:rsid w:val="001751D7"/>
    <w:rsid w:val="00175C64"/>
    <w:rsid w:val="00176C16"/>
    <w:rsid w:val="001773B4"/>
    <w:rsid w:val="001775E5"/>
    <w:rsid w:val="0018001D"/>
    <w:rsid w:val="00180AAE"/>
    <w:rsid w:val="00180B60"/>
    <w:rsid w:val="0018150D"/>
    <w:rsid w:val="00181683"/>
    <w:rsid w:val="001824D8"/>
    <w:rsid w:val="001834E8"/>
    <w:rsid w:val="00183678"/>
    <w:rsid w:val="00183990"/>
    <w:rsid w:val="00184771"/>
    <w:rsid w:val="00184F69"/>
    <w:rsid w:val="00185517"/>
    <w:rsid w:val="001858C6"/>
    <w:rsid w:val="00186DFD"/>
    <w:rsid w:val="001872FF"/>
    <w:rsid w:val="0018797C"/>
    <w:rsid w:val="00187AD7"/>
    <w:rsid w:val="00187CB5"/>
    <w:rsid w:val="00187EF6"/>
    <w:rsid w:val="0019117C"/>
    <w:rsid w:val="00191BBD"/>
    <w:rsid w:val="0019356E"/>
    <w:rsid w:val="0019377F"/>
    <w:rsid w:val="00196463"/>
    <w:rsid w:val="00197DF6"/>
    <w:rsid w:val="001A0E01"/>
    <w:rsid w:val="001A162E"/>
    <w:rsid w:val="001A365A"/>
    <w:rsid w:val="001A629C"/>
    <w:rsid w:val="001A764B"/>
    <w:rsid w:val="001A7A75"/>
    <w:rsid w:val="001B07F8"/>
    <w:rsid w:val="001B090C"/>
    <w:rsid w:val="001B0A15"/>
    <w:rsid w:val="001B0F7B"/>
    <w:rsid w:val="001B2089"/>
    <w:rsid w:val="001B3015"/>
    <w:rsid w:val="001B3573"/>
    <w:rsid w:val="001B364B"/>
    <w:rsid w:val="001B5B03"/>
    <w:rsid w:val="001B5B7E"/>
    <w:rsid w:val="001B689F"/>
    <w:rsid w:val="001C02F4"/>
    <w:rsid w:val="001C03D3"/>
    <w:rsid w:val="001C0A38"/>
    <w:rsid w:val="001C1C44"/>
    <w:rsid w:val="001C2EA1"/>
    <w:rsid w:val="001C347B"/>
    <w:rsid w:val="001C35B8"/>
    <w:rsid w:val="001C3846"/>
    <w:rsid w:val="001C3B15"/>
    <w:rsid w:val="001C41B8"/>
    <w:rsid w:val="001C4669"/>
    <w:rsid w:val="001C48D1"/>
    <w:rsid w:val="001C5BDC"/>
    <w:rsid w:val="001C5DF7"/>
    <w:rsid w:val="001C79D9"/>
    <w:rsid w:val="001D01D3"/>
    <w:rsid w:val="001D0262"/>
    <w:rsid w:val="001D0935"/>
    <w:rsid w:val="001D192B"/>
    <w:rsid w:val="001D1ED2"/>
    <w:rsid w:val="001D2629"/>
    <w:rsid w:val="001D3292"/>
    <w:rsid w:val="001D4349"/>
    <w:rsid w:val="001D44BE"/>
    <w:rsid w:val="001D663F"/>
    <w:rsid w:val="001D69D7"/>
    <w:rsid w:val="001D72EB"/>
    <w:rsid w:val="001D7E67"/>
    <w:rsid w:val="001E0491"/>
    <w:rsid w:val="001E0BD3"/>
    <w:rsid w:val="001E4D8D"/>
    <w:rsid w:val="001E5181"/>
    <w:rsid w:val="001E5634"/>
    <w:rsid w:val="001E57BE"/>
    <w:rsid w:val="001E734B"/>
    <w:rsid w:val="001E770E"/>
    <w:rsid w:val="001E7F47"/>
    <w:rsid w:val="001F0F64"/>
    <w:rsid w:val="001F1002"/>
    <w:rsid w:val="001F234E"/>
    <w:rsid w:val="001F3AC0"/>
    <w:rsid w:val="001F4F03"/>
    <w:rsid w:val="001F6F46"/>
    <w:rsid w:val="001F7F32"/>
    <w:rsid w:val="00200673"/>
    <w:rsid w:val="002006AF"/>
    <w:rsid w:val="00201248"/>
    <w:rsid w:val="00202EE5"/>
    <w:rsid w:val="00204572"/>
    <w:rsid w:val="00204683"/>
    <w:rsid w:val="002047CB"/>
    <w:rsid w:val="00204A2E"/>
    <w:rsid w:val="00204FEB"/>
    <w:rsid w:val="00207005"/>
    <w:rsid w:val="00207317"/>
    <w:rsid w:val="002077A7"/>
    <w:rsid w:val="00207940"/>
    <w:rsid w:val="00212264"/>
    <w:rsid w:val="002131A8"/>
    <w:rsid w:val="00213202"/>
    <w:rsid w:val="00213DB7"/>
    <w:rsid w:val="0021546D"/>
    <w:rsid w:val="002166F0"/>
    <w:rsid w:val="00217310"/>
    <w:rsid w:val="00221F5B"/>
    <w:rsid w:val="0022280B"/>
    <w:rsid w:val="0022324E"/>
    <w:rsid w:val="00223634"/>
    <w:rsid w:val="00224463"/>
    <w:rsid w:val="002257D7"/>
    <w:rsid w:val="00225839"/>
    <w:rsid w:val="00225BC1"/>
    <w:rsid w:val="00231058"/>
    <w:rsid w:val="0023195C"/>
    <w:rsid w:val="00231BE3"/>
    <w:rsid w:val="00231D39"/>
    <w:rsid w:val="002329B8"/>
    <w:rsid w:val="002331D1"/>
    <w:rsid w:val="00233812"/>
    <w:rsid w:val="00233FB6"/>
    <w:rsid w:val="002349E4"/>
    <w:rsid w:val="0023506A"/>
    <w:rsid w:val="002356FB"/>
    <w:rsid w:val="002362C0"/>
    <w:rsid w:val="002367F7"/>
    <w:rsid w:val="00236B88"/>
    <w:rsid w:val="00237EC0"/>
    <w:rsid w:val="00237F3A"/>
    <w:rsid w:val="002407D1"/>
    <w:rsid w:val="002431AA"/>
    <w:rsid w:val="00243B8C"/>
    <w:rsid w:val="00244D5D"/>
    <w:rsid w:val="00244EC9"/>
    <w:rsid w:val="002468DB"/>
    <w:rsid w:val="00246DF8"/>
    <w:rsid w:val="002475AD"/>
    <w:rsid w:val="00250E29"/>
    <w:rsid w:val="00252C0A"/>
    <w:rsid w:val="00253D4F"/>
    <w:rsid w:val="00253D93"/>
    <w:rsid w:val="0025448C"/>
    <w:rsid w:val="00254BC8"/>
    <w:rsid w:val="0025696D"/>
    <w:rsid w:val="00257C81"/>
    <w:rsid w:val="002607DE"/>
    <w:rsid w:val="00260C6F"/>
    <w:rsid w:val="002617FA"/>
    <w:rsid w:val="00261805"/>
    <w:rsid w:val="00261893"/>
    <w:rsid w:val="0026307A"/>
    <w:rsid w:val="0026383C"/>
    <w:rsid w:val="00265962"/>
    <w:rsid w:val="00265C63"/>
    <w:rsid w:val="00266CD0"/>
    <w:rsid w:val="002679C2"/>
    <w:rsid w:val="00270AB4"/>
    <w:rsid w:val="00270C6F"/>
    <w:rsid w:val="00270C9E"/>
    <w:rsid w:val="0027139D"/>
    <w:rsid w:val="00271D5D"/>
    <w:rsid w:val="00271F9E"/>
    <w:rsid w:val="002720EA"/>
    <w:rsid w:val="002736FC"/>
    <w:rsid w:val="00273E69"/>
    <w:rsid w:val="0027473B"/>
    <w:rsid w:val="00276976"/>
    <w:rsid w:val="00276F16"/>
    <w:rsid w:val="00277415"/>
    <w:rsid w:val="002774AE"/>
    <w:rsid w:val="0027783C"/>
    <w:rsid w:val="00280737"/>
    <w:rsid w:val="00281320"/>
    <w:rsid w:val="00282390"/>
    <w:rsid w:val="00282AB8"/>
    <w:rsid w:val="00283C96"/>
    <w:rsid w:val="00283E5D"/>
    <w:rsid w:val="0028410A"/>
    <w:rsid w:val="00284AAF"/>
    <w:rsid w:val="00284DC7"/>
    <w:rsid w:val="00286344"/>
    <w:rsid w:val="002864BF"/>
    <w:rsid w:val="00286CE7"/>
    <w:rsid w:val="00287AD7"/>
    <w:rsid w:val="00290C8D"/>
    <w:rsid w:val="00291630"/>
    <w:rsid w:val="002927A9"/>
    <w:rsid w:val="0029283F"/>
    <w:rsid w:val="00293BAA"/>
    <w:rsid w:val="00294FDC"/>
    <w:rsid w:val="0029668E"/>
    <w:rsid w:val="002A057B"/>
    <w:rsid w:val="002A2292"/>
    <w:rsid w:val="002A54F5"/>
    <w:rsid w:val="002B20E4"/>
    <w:rsid w:val="002B20ED"/>
    <w:rsid w:val="002B243C"/>
    <w:rsid w:val="002B2AB8"/>
    <w:rsid w:val="002B30E4"/>
    <w:rsid w:val="002B4A46"/>
    <w:rsid w:val="002B4F86"/>
    <w:rsid w:val="002B54B8"/>
    <w:rsid w:val="002B60DE"/>
    <w:rsid w:val="002B7152"/>
    <w:rsid w:val="002C0274"/>
    <w:rsid w:val="002C135A"/>
    <w:rsid w:val="002C1DA7"/>
    <w:rsid w:val="002C1EB7"/>
    <w:rsid w:val="002C2073"/>
    <w:rsid w:val="002C27AA"/>
    <w:rsid w:val="002C2AF9"/>
    <w:rsid w:val="002C35B0"/>
    <w:rsid w:val="002C5F72"/>
    <w:rsid w:val="002C7632"/>
    <w:rsid w:val="002C7BA8"/>
    <w:rsid w:val="002C7FCD"/>
    <w:rsid w:val="002D16B3"/>
    <w:rsid w:val="002D1B46"/>
    <w:rsid w:val="002D2248"/>
    <w:rsid w:val="002D2369"/>
    <w:rsid w:val="002D26E5"/>
    <w:rsid w:val="002D2A67"/>
    <w:rsid w:val="002D2C18"/>
    <w:rsid w:val="002D2EAB"/>
    <w:rsid w:val="002D329E"/>
    <w:rsid w:val="002D49E8"/>
    <w:rsid w:val="002D4BCE"/>
    <w:rsid w:val="002D50AD"/>
    <w:rsid w:val="002D527B"/>
    <w:rsid w:val="002D5617"/>
    <w:rsid w:val="002D5985"/>
    <w:rsid w:val="002D6ED2"/>
    <w:rsid w:val="002D730A"/>
    <w:rsid w:val="002E017B"/>
    <w:rsid w:val="002E0E9C"/>
    <w:rsid w:val="002E12B1"/>
    <w:rsid w:val="002E49F4"/>
    <w:rsid w:val="002E629B"/>
    <w:rsid w:val="002E7E32"/>
    <w:rsid w:val="002F06F7"/>
    <w:rsid w:val="002F173C"/>
    <w:rsid w:val="002F22C4"/>
    <w:rsid w:val="002F3029"/>
    <w:rsid w:val="002F32DF"/>
    <w:rsid w:val="002F3BA0"/>
    <w:rsid w:val="00301A28"/>
    <w:rsid w:val="00302794"/>
    <w:rsid w:val="00304AAE"/>
    <w:rsid w:val="00304ADB"/>
    <w:rsid w:val="00305117"/>
    <w:rsid w:val="003061C3"/>
    <w:rsid w:val="00306989"/>
    <w:rsid w:val="003069B3"/>
    <w:rsid w:val="003076E0"/>
    <w:rsid w:val="00307E18"/>
    <w:rsid w:val="00311BEE"/>
    <w:rsid w:val="003120CD"/>
    <w:rsid w:val="00312F84"/>
    <w:rsid w:val="00313670"/>
    <w:rsid w:val="00315743"/>
    <w:rsid w:val="00316AE1"/>
    <w:rsid w:val="00316C06"/>
    <w:rsid w:val="00320ABB"/>
    <w:rsid w:val="00321119"/>
    <w:rsid w:val="003223BB"/>
    <w:rsid w:val="00322424"/>
    <w:rsid w:val="00322A27"/>
    <w:rsid w:val="00322F70"/>
    <w:rsid w:val="00322FF7"/>
    <w:rsid w:val="00324245"/>
    <w:rsid w:val="003243E6"/>
    <w:rsid w:val="00324DDD"/>
    <w:rsid w:val="00326AD7"/>
    <w:rsid w:val="00331267"/>
    <w:rsid w:val="003317B6"/>
    <w:rsid w:val="00331841"/>
    <w:rsid w:val="003321FE"/>
    <w:rsid w:val="003330D6"/>
    <w:rsid w:val="00334027"/>
    <w:rsid w:val="00336FB7"/>
    <w:rsid w:val="003371D0"/>
    <w:rsid w:val="00337F6C"/>
    <w:rsid w:val="00340CF2"/>
    <w:rsid w:val="0034192C"/>
    <w:rsid w:val="00341C09"/>
    <w:rsid w:val="00341D4D"/>
    <w:rsid w:val="00343FE2"/>
    <w:rsid w:val="00344CF0"/>
    <w:rsid w:val="00345627"/>
    <w:rsid w:val="003468C1"/>
    <w:rsid w:val="003501F5"/>
    <w:rsid w:val="003506F9"/>
    <w:rsid w:val="00350AE0"/>
    <w:rsid w:val="0035101D"/>
    <w:rsid w:val="00357064"/>
    <w:rsid w:val="003570D9"/>
    <w:rsid w:val="003572E2"/>
    <w:rsid w:val="00360726"/>
    <w:rsid w:val="00360EAE"/>
    <w:rsid w:val="00361D37"/>
    <w:rsid w:val="003657C4"/>
    <w:rsid w:val="003659E1"/>
    <w:rsid w:val="003711EC"/>
    <w:rsid w:val="003712CF"/>
    <w:rsid w:val="003718F2"/>
    <w:rsid w:val="003723A7"/>
    <w:rsid w:val="003723B9"/>
    <w:rsid w:val="003724C8"/>
    <w:rsid w:val="00374E96"/>
    <w:rsid w:val="0037598E"/>
    <w:rsid w:val="00375FA6"/>
    <w:rsid w:val="00376C63"/>
    <w:rsid w:val="0038037E"/>
    <w:rsid w:val="00380855"/>
    <w:rsid w:val="00380BE4"/>
    <w:rsid w:val="0038116F"/>
    <w:rsid w:val="00382191"/>
    <w:rsid w:val="003822FB"/>
    <w:rsid w:val="00382CB7"/>
    <w:rsid w:val="0038377B"/>
    <w:rsid w:val="003839BD"/>
    <w:rsid w:val="00383B6A"/>
    <w:rsid w:val="00383C1F"/>
    <w:rsid w:val="00384917"/>
    <w:rsid w:val="00384D87"/>
    <w:rsid w:val="00384E17"/>
    <w:rsid w:val="0039085B"/>
    <w:rsid w:val="003916DA"/>
    <w:rsid w:val="003929D0"/>
    <w:rsid w:val="00393C6A"/>
    <w:rsid w:val="00393FAB"/>
    <w:rsid w:val="0039444D"/>
    <w:rsid w:val="003959A1"/>
    <w:rsid w:val="00395EE6"/>
    <w:rsid w:val="003A0D87"/>
    <w:rsid w:val="003A148D"/>
    <w:rsid w:val="003A245E"/>
    <w:rsid w:val="003A3873"/>
    <w:rsid w:val="003A4C4B"/>
    <w:rsid w:val="003A63EA"/>
    <w:rsid w:val="003B0D85"/>
    <w:rsid w:val="003B1867"/>
    <w:rsid w:val="003B239E"/>
    <w:rsid w:val="003B2469"/>
    <w:rsid w:val="003B5F10"/>
    <w:rsid w:val="003B6CB2"/>
    <w:rsid w:val="003B718F"/>
    <w:rsid w:val="003B7762"/>
    <w:rsid w:val="003B7CC0"/>
    <w:rsid w:val="003B7DED"/>
    <w:rsid w:val="003C0853"/>
    <w:rsid w:val="003C230C"/>
    <w:rsid w:val="003C3723"/>
    <w:rsid w:val="003C4049"/>
    <w:rsid w:val="003C5BC9"/>
    <w:rsid w:val="003C6505"/>
    <w:rsid w:val="003C70CB"/>
    <w:rsid w:val="003D03BE"/>
    <w:rsid w:val="003D0CEC"/>
    <w:rsid w:val="003D330D"/>
    <w:rsid w:val="003D37F1"/>
    <w:rsid w:val="003D3B04"/>
    <w:rsid w:val="003D3F16"/>
    <w:rsid w:val="003D503B"/>
    <w:rsid w:val="003D5493"/>
    <w:rsid w:val="003D60C3"/>
    <w:rsid w:val="003D6B92"/>
    <w:rsid w:val="003D6C5C"/>
    <w:rsid w:val="003D72C6"/>
    <w:rsid w:val="003D75EC"/>
    <w:rsid w:val="003D7704"/>
    <w:rsid w:val="003D7BC2"/>
    <w:rsid w:val="003D7C38"/>
    <w:rsid w:val="003E02DF"/>
    <w:rsid w:val="003E045F"/>
    <w:rsid w:val="003E17A3"/>
    <w:rsid w:val="003E1A04"/>
    <w:rsid w:val="003E1CBE"/>
    <w:rsid w:val="003E3632"/>
    <w:rsid w:val="003E4C06"/>
    <w:rsid w:val="003E5046"/>
    <w:rsid w:val="003E5104"/>
    <w:rsid w:val="003E5403"/>
    <w:rsid w:val="003E5C3C"/>
    <w:rsid w:val="003E65F8"/>
    <w:rsid w:val="003E72BC"/>
    <w:rsid w:val="003E74B4"/>
    <w:rsid w:val="003F07BD"/>
    <w:rsid w:val="003F0A58"/>
    <w:rsid w:val="003F0D60"/>
    <w:rsid w:val="003F168E"/>
    <w:rsid w:val="003F1BB2"/>
    <w:rsid w:val="003F1D43"/>
    <w:rsid w:val="003F1DC8"/>
    <w:rsid w:val="003F26EE"/>
    <w:rsid w:val="003F281B"/>
    <w:rsid w:val="003F2B12"/>
    <w:rsid w:val="003F4EFE"/>
    <w:rsid w:val="003F50F1"/>
    <w:rsid w:val="003F5C0A"/>
    <w:rsid w:val="003F664C"/>
    <w:rsid w:val="003F68AB"/>
    <w:rsid w:val="003F76F7"/>
    <w:rsid w:val="003F7D27"/>
    <w:rsid w:val="004025F7"/>
    <w:rsid w:val="00402F48"/>
    <w:rsid w:val="00403351"/>
    <w:rsid w:val="0040431C"/>
    <w:rsid w:val="00404898"/>
    <w:rsid w:val="004058F1"/>
    <w:rsid w:val="00406E2F"/>
    <w:rsid w:val="0040735D"/>
    <w:rsid w:val="004120DD"/>
    <w:rsid w:val="00412AF0"/>
    <w:rsid w:val="00412D65"/>
    <w:rsid w:val="00413473"/>
    <w:rsid w:val="0041479B"/>
    <w:rsid w:val="00416136"/>
    <w:rsid w:val="004162CF"/>
    <w:rsid w:val="004163FA"/>
    <w:rsid w:val="00416AD4"/>
    <w:rsid w:val="00417096"/>
    <w:rsid w:val="00417FC6"/>
    <w:rsid w:val="0042258D"/>
    <w:rsid w:val="00423FA8"/>
    <w:rsid w:val="004245A7"/>
    <w:rsid w:val="00424919"/>
    <w:rsid w:val="004259DD"/>
    <w:rsid w:val="00425A6D"/>
    <w:rsid w:val="0042657B"/>
    <w:rsid w:val="00427B52"/>
    <w:rsid w:val="0043107C"/>
    <w:rsid w:val="004310A3"/>
    <w:rsid w:val="004339CC"/>
    <w:rsid w:val="004366F2"/>
    <w:rsid w:val="004368C8"/>
    <w:rsid w:val="004373BA"/>
    <w:rsid w:val="00437A36"/>
    <w:rsid w:val="004405C2"/>
    <w:rsid w:val="00442C07"/>
    <w:rsid w:val="00443C4D"/>
    <w:rsid w:val="004440F6"/>
    <w:rsid w:val="0044475D"/>
    <w:rsid w:val="004449A9"/>
    <w:rsid w:val="0044573B"/>
    <w:rsid w:val="00445B8A"/>
    <w:rsid w:val="0044635E"/>
    <w:rsid w:val="00447D7C"/>
    <w:rsid w:val="0045104E"/>
    <w:rsid w:val="00451567"/>
    <w:rsid w:val="00452675"/>
    <w:rsid w:val="00452EDF"/>
    <w:rsid w:val="0045395C"/>
    <w:rsid w:val="004540D2"/>
    <w:rsid w:val="00454421"/>
    <w:rsid w:val="0045449C"/>
    <w:rsid w:val="00454979"/>
    <w:rsid w:val="004549B7"/>
    <w:rsid w:val="004556D7"/>
    <w:rsid w:val="00455BAA"/>
    <w:rsid w:val="0045665E"/>
    <w:rsid w:val="0045712E"/>
    <w:rsid w:val="00457B2E"/>
    <w:rsid w:val="00461503"/>
    <w:rsid w:val="004617AB"/>
    <w:rsid w:val="00462113"/>
    <w:rsid w:val="00462858"/>
    <w:rsid w:val="00464504"/>
    <w:rsid w:val="004649C0"/>
    <w:rsid w:val="00464C5C"/>
    <w:rsid w:val="0046542A"/>
    <w:rsid w:val="00465AD5"/>
    <w:rsid w:val="00467F9D"/>
    <w:rsid w:val="0047045E"/>
    <w:rsid w:val="00470BAB"/>
    <w:rsid w:val="00471084"/>
    <w:rsid w:val="004712D1"/>
    <w:rsid w:val="004734F5"/>
    <w:rsid w:val="004778BC"/>
    <w:rsid w:val="00483825"/>
    <w:rsid w:val="00483BD8"/>
    <w:rsid w:val="00484AE4"/>
    <w:rsid w:val="00484C3E"/>
    <w:rsid w:val="004852C5"/>
    <w:rsid w:val="004852D9"/>
    <w:rsid w:val="004854AF"/>
    <w:rsid w:val="00485977"/>
    <w:rsid w:val="00486773"/>
    <w:rsid w:val="004910EF"/>
    <w:rsid w:val="0049298F"/>
    <w:rsid w:val="00492B31"/>
    <w:rsid w:val="0049345A"/>
    <w:rsid w:val="004941D1"/>
    <w:rsid w:val="004941D4"/>
    <w:rsid w:val="00494B33"/>
    <w:rsid w:val="00494E86"/>
    <w:rsid w:val="0049527E"/>
    <w:rsid w:val="004959C9"/>
    <w:rsid w:val="00496BAB"/>
    <w:rsid w:val="004979F6"/>
    <w:rsid w:val="004A0EA1"/>
    <w:rsid w:val="004A15B9"/>
    <w:rsid w:val="004A1A1C"/>
    <w:rsid w:val="004A1AD7"/>
    <w:rsid w:val="004A2227"/>
    <w:rsid w:val="004A246E"/>
    <w:rsid w:val="004A2EC9"/>
    <w:rsid w:val="004A486F"/>
    <w:rsid w:val="004A4F52"/>
    <w:rsid w:val="004A5029"/>
    <w:rsid w:val="004A58A1"/>
    <w:rsid w:val="004A7039"/>
    <w:rsid w:val="004B0354"/>
    <w:rsid w:val="004B08F7"/>
    <w:rsid w:val="004B15F0"/>
    <w:rsid w:val="004B2990"/>
    <w:rsid w:val="004B3174"/>
    <w:rsid w:val="004B31AC"/>
    <w:rsid w:val="004B4A07"/>
    <w:rsid w:val="004B55D9"/>
    <w:rsid w:val="004B5625"/>
    <w:rsid w:val="004B5ED8"/>
    <w:rsid w:val="004C0A48"/>
    <w:rsid w:val="004C158C"/>
    <w:rsid w:val="004C1783"/>
    <w:rsid w:val="004C333B"/>
    <w:rsid w:val="004C38AC"/>
    <w:rsid w:val="004C51D1"/>
    <w:rsid w:val="004C5775"/>
    <w:rsid w:val="004C62B9"/>
    <w:rsid w:val="004C6762"/>
    <w:rsid w:val="004C73E6"/>
    <w:rsid w:val="004D0158"/>
    <w:rsid w:val="004D0294"/>
    <w:rsid w:val="004D05F5"/>
    <w:rsid w:val="004D07D0"/>
    <w:rsid w:val="004D0D4D"/>
    <w:rsid w:val="004D182F"/>
    <w:rsid w:val="004D1C5F"/>
    <w:rsid w:val="004D37C2"/>
    <w:rsid w:val="004D6A78"/>
    <w:rsid w:val="004D7EC5"/>
    <w:rsid w:val="004E02D0"/>
    <w:rsid w:val="004E0C31"/>
    <w:rsid w:val="004E18D7"/>
    <w:rsid w:val="004E34DE"/>
    <w:rsid w:val="004E3E57"/>
    <w:rsid w:val="004E59E4"/>
    <w:rsid w:val="004E6550"/>
    <w:rsid w:val="004E6CEA"/>
    <w:rsid w:val="004E6E5B"/>
    <w:rsid w:val="004E73F0"/>
    <w:rsid w:val="004F1026"/>
    <w:rsid w:val="004F14BA"/>
    <w:rsid w:val="004F1F7D"/>
    <w:rsid w:val="004F251A"/>
    <w:rsid w:val="004F408F"/>
    <w:rsid w:val="004F4CC3"/>
    <w:rsid w:val="004F5AE4"/>
    <w:rsid w:val="004F62BA"/>
    <w:rsid w:val="004F73DC"/>
    <w:rsid w:val="004F7415"/>
    <w:rsid w:val="004F7F69"/>
    <w:rsid w:val="005019FE"/>
    <w:rsid w:val="005031F3"/>
    <w:rsid w:val="005045A5"/>
    <w:rsid w:val="00504907"/>
    <w:rsid w:val="00507042"/>
    <w:rsid w:val="005074D1"/>
    <w:rsid w:val="00507724"/>
    <w:rsid w:val="005108CF"/>
    <w:rsid w:val="00510C5A"/>
    <w:rsid w:val="00510EC9"/>
    <w:rsid w:val="005111ED"/>
    <w:rsid w:val="0051121D"/>
    <w:rsid w:val="00511227"/>
    <w:rsid w:val="005117A1"/>
    <w:rsid w:val="00511943"/>
    <w:rsid w:val="00511D0B"/>
    <w:rsid w:val="00512957"/>
    <w:rsid w:val="00512DE2"/>
    <w:rsid w:val="00513179"/>
    <w:rsid w:val="00513E78"/>
    <w:rsid w:val="00514C89"/>
    <w:rsid w:val="005204CE"/>
    <w:rsid w:val="00521780"/>
    <w:rsid w:val="00522A4C"/>
    <w:rsid w:val="005234B6"/>
    <w:rsid w:val="00523DBD"/>
    <w:rsid w:val="0052418B"/>
    <w:rsid w:val="00524457"/>
    <w:rsid w:val="00524E9B"/>
    <w:rsid w:val="00525389"/>
    <w:rsid w:val="00525CE5"/>
    <w:rsid w:val="00526DBE"/>
    <w:rsid w:val="00527774"/>
    <w:rsid w:val="00530820"/>
    <w:rsid w:val="00530C84"/>
    <w:rsid w:val="0053320F"/>
    <w:rsid w:val="00534AB7"/>
    <w:rsid w:val="00534AFC"/>
    <w:rsid w:val="0053601C"/>
    <w:rsid w:val="00536148"/>
    <w:rsid w:val="00536F6D"/>
    <w:rsid w:val="0053752A"/>
    <w:rsid w:val="0054047D"/>
    <w:rsid w:val="00542DE3"/>
    <w:rsid w:val="00543313"/>
    <w:rsid w:val="00546E09"/>
    <w:rsid w:val="0054752F"/>
    <w:rsid w:val="005507BD"/>
    <w:rsid w:val="005511E0"/>
    <w:rsid w:val="00551287"/>
    <w:rsid w:val="0055176A"/>
    <w:rsid w:val="00551894"/>
    <w:rsid w:val="005520DD"/>
    <w:rsid w:val="00552655"/>
    <w:rsid w:val="00553B4F"/>
    <w:rsid w:val="00553EBA"/>
    <w:rsid w:val="00553F6D"/>
    <w:rsid w:val="00554126"/>
    <w:rsid w:val="0055436D"/>
    <w:rsid w:val="00554BB9"/>
    <w:rsid w:val="00554DE7"/>
    <w:rsid w:val="005553CF"/>
    <w:rsid w:val="005557C4"/>
    <w:rsid w:val="005569D7"/>
    <w:rsid w:val="00556A6C"/>
    <w:rsid w:val="0055731F"/>
    <w:rsid w:val="005607E5"/>
    <w:rsid w:val="00561110"/>
    <w:rsid w:val="00562BEB"/>
    <w:rsid w:val="00563701"/>
    <w:rsid w:val="00566052"/>
    <w:rsid w:val="005669E8"/>
    <w:rsid w:val="00566D60"/>
    <w:rsid w:val="00567C9C"/>
    <w:rsid w:val="00570093"/>
    <w:rsid w:val="0057045B"/>
    <w:rsid w:val="005710D3"/>
    <w:rsid w:val="00573739"/>
    <w:rsid w:val="00573BA1"/>
    <w:rsid w:val="00576546"/>
    <w:rsid w:val="00576BE6"/>
    <w:rsid w:val="0057796B"/>
    <w:rsid w:val="005802CB"/>
    <w:rsid w:val="00583953"/>
    <w:rsid w:val="00584529"/>
    <w:rsid w:val="00586287"/>
    <w:rsid w:val="005868DC"/>
    <w:rsid w:val="005874BF"/>
    <w:rsid w:val="00587AD0"/>
    <w:rsid w:val="0059025F"/>
    <w:rsid w:val="005905F5"/>
    <w:rsid w:val="005906F6"/>
    <w:rsid w:val="00591513"/>
    <w:rsid w:val="00591D4C"/>
    <w:rsid w:val="0059345F"/>
    <w:rsid w:val="00593522"/>
    <w:rsid w:val="00593922"/>
    <w:rsid w:val="00593BFC"/>
    <w:rsid w:val="00593EF0"/>
    <w:rsid w:val="00595330"/>
    <w:rsid w:val="005A4062"/>
    <w:rsid w:val="005A4B7F"/>
    <w:rsid w:val="005A51BA"/>
    <w:rsid w:val="005A56D1"/>
    <w:rsid w:val="005A655D"/>
    <w:rsid w:val="005A6602"/>
    <w:rsid w:val="005A66CF"/>
    <w:rsid w:val="005A6EB6"/>
    <w:rsid w:val="005A7422"/>
    <w:rsid w:val="005A795D"/>
    <w:rsid w:val="005B0750"/>
    <w:rsid w:val="005B09CA"/>
    <w:rsid w:val="005B2DD8"/>
    <w:rsid w:val="005B405D"/>
    <w:rsid w:val="005B46B9"/>
    <w:rsid w:val="005B49AA"/>
    <w:rsid w:val="005B4EF8"/>
    <w:rsid w:val="005B7374"/>
    <w:rsid w:val="005C10EF"/>
    <w:rsid w:val="005C1AAB"/>
    <w:rsid w:val="005C3257"/>
    <w:rsid w:val="005C3B7C"/>
    <w:rsid w:val="005C4250"/>
    <w:rsid w:val="005C457F"/>
    <w:rsid w:val="005C565D"/>
    <w:rsid w:val="005C71DF"/>
    <w:rsid w:val="005C74AB"/>
    <w:rsid w:val="005C764E"/>
    <w:rsid w:val="005C790D"/>
    <w:rsid w:val="005C7B62"/>
    <w:rsid w:val="005C7F95"/>
    <w:rsid w:val="005D244D"/>
    <w:rsid w:val="005D3506"/>
    <w:rsid w:val="005D4E08"/>
    <w:rsid w:val="005D5B98"/>
    <w:rsid w:val="005D6D6F"/>
    <w:rsid w:val="005D7DEF"/>
    <w:rsid w:val="005E0759"/>
    <w:rsid w:val="005E0A19"/>
    <w:rsid w:val="005E13A5"/>
    <w:rsid w:val="005E26F3"/>
    <w:rsid w:val="005E31BC"/>
    <w:rsid w:val="005E3D4D"/>
    <w:rsid w:val="005E40C6"/>
    <w:rsid w:val="005E4269"/>
    <w:rsid w:val="005E4E32"/>
    <w:rsid w:val="005E6044"/>
    <w:rsid w:val="005E7946"/>
    <w:rsid w:val="005E7B4C"/>
    <w:rsid w:val="005F0E9C"/>
    <w:rsid w:val="005F1011"/>
    <w:rsid w:val="005F19B7"/>
    <w:rsid w:val="005F1A7E"/>
    <w:rsid w:val="005F2589"/>
    <w:rsid w:val="005F3248"/>
    <w:rsid w:val="005F36BD"/>
    <w:rsid w:val="005F434C"/>
    <w:rsid w:val="005F5930"/>
    <w:rsid w:val="005F5D55"/>
    <w:rsid w:val="005F6FD1"/>
    <w:rsid w:val="0060018D"/>
    <w:rsid w:val="00602D6B"/>
    <w:rsid w:val="00603481"/>
    <w:rsid w:val="00603624"/>
    <w:rsid w:val="00603F50"/>
    <w:rsid w:val="006052BF"/>
    <w:rsid w:val="00605639"/>
    <w:rsid w:val="006058B6"/>
    <w:rsid w:val="00605943"/>
    <w:rsid w:val="00606027"/>
    <w:rsid w:val="0060742B"/>
    <w:rsid w:val="0060767F"/>
    <w:rsid w:val="006077DD"/>
    <w:rsid w:val="006100A1"/>
    <w:rsid w:val="00613938"/>
    <w:rsid w:val="00614E6E"/>
    <w:rsid w:val="00614FBF"/>
    <w:rsid w:val="0062088F"/>
    <w:rsid w:val="006213F9"/>
    <w:rsid w:val="00621498"/>
    <w:rsid w:val="00624237"/>
    <w:rsid w:val="00625925"/>
    <w:rsid w:val="00625B23"/>
    <w:rsid w:val="00625D77"/>
    <w:rsid w:val="006263FD"/>
    <w:rsid w:val="00626E98"/>
    <w:rsid w:val="00632072"/>
    <w:rsid w:val="006327C9"/>
    <w:rsid w:val="00632BB2"/>
    <w:rsid w:val="006336E6"/>
    <w:rsid w:val="00633F03"/>
    <w:rsid w:val="0063500B"/>
    <w:rsid w:val="00635257"/>
    <w:rsid w:val="00636168"/>
    <w:rsid w:val="00636880"/>
    <w:rsid w:val="00637149"/>
    <w:rsid w:val="0063737D"/>
    <w:rsid w:val="00637734"/>
    <w:rsid w:val="00637A93"/>
    <w:rsid w:val="00640CC7"/>
    <w:rsid w:val="00640F9D"/>
    <w:rsid w:val="00641604"/>
    <w:rsid w:val="006421B5"/>
    <w:rsid w:val="00642AC1"/>
    <w:rsid w:val="00642EF0"/>
    <w:rsid w:val="00643156"/>
    <w:rsid w:val="00643D32"/>
    <w:rsid w:val="006441A8"/>
    <w:rsid w:val="00644852"/>
    <w:rsid w:val="00645125"/>
    <w:rsid w:val="006456F8"/>
    <w:rsid w:val="00646034"/>
    <w:rsid w:val="00646646"/>
    <w:rsid w:val="006474B8"/>
    <w:rsid w:val="00654B58"/>
    <w:rsid w:val="00655101"/>
    <w:rsid w:val="00655746"/>
    <w:rsid w:val="006561D0"/>
    <w:rsid w:val="006563C0"/>
    <w:rsid w:val="00656BE7"/>
    <w:rsid w:val="006574E9"/>
    <w:rsid w:val="00657520"/>
    <w:rsid w:val="00657AB4"/>
    <w:rsid w:val="00660A6C"/>
    <w:rsid w:val="0066115A"/>
    <w:rsid w:val="00661E3C"/>
    <w:rsid w:val="006627D1"/>
    <w:rsid w:val="00662EEF"/>
    <w:rsid w:val="0066401D"/>
    <w:rsid w:val="00665DD2"/>
    <w:rsid w:val="0066607D"/>
    <w:rsid w:val="00666F93"/>
    <w:rsid w:val="00667275"/>
    <w:rsid w:val="006675A2"/>
    <w:rsid w:val="006702BD"/>
    <w:rsid w:val="00670539"/>
    <w:rsid w:val="00670DB6"/>
    <w:rsid w:val="006712F5"/>
    <w:rsid w:val="00672B0F"/>
    <w:rsid w:val="00674605"/>
    <w:rsid w:val="00674EA0"/>
    <w:rsid w:val="00675326"/>
    <w:rsid w:val="0067536D"/>
    <w:rsid w:val="00675F2A"/>
    <w:rsid w:val="006761EB"/>
    <w:rsid w:val="0067660A"/>
    <w:rsid w:val="006766F9"/>
    <w:rsid w:val="00676AAF"/>
    <w:rsid w:val="00677348"/>
    <w:rsid w:val="00677EC1"/>
    <w:rsid w:val="006801D1"/>
    <w:rsid w:val="00681F32"/>
    <w:rsid w:val="00681F4B"/>
    <w:rsid w:val="00682446"/>
    <w:rsid w:val="00682FE5"/>
    <w:rsid w:val="0068345E"/>
    <w:rsid w:val="00683918"/>
    <w:rsid w:val="0068397B"/>
    <w:rsid w:val="00683E3A"/>
    <w:rsid w:val="00683FAE"/>
    <w:rsid w:val="006879B8"/>
    <w:rsid w:val="00687F0C"/>
    <w:rsid w:val="00690ECB"/>
    <w:rsid w:val="00693205"/>
    <w:rsid w:val="00693EE3"/>
    <w:rsid w:val="006969DE"/>
    <w:rsid w:val="00697682"/>
    <w:rsid w:val="006A0047"/>
    <w:rsid w:val="006A0565"/>
    <w:rsid w:val="006A05A0"/>
    <w:rsid w:val="006A0E44"/>
    <w:rsid w:val="006A1715"/>
    <w:rsid w:val="006A233B"/>
    <w:rsid w:val="006A283C"/>
    <w:rsid w:val="006A3EE3"/>
    <w:rsid w:val="006A3F2F"/>
    <w:rsid w:val="006A4288"/>
    <w:rsid w:val="006A532A"/>
    <w:rsid w:val="006A6148"/>
    <w:rsid w:val="006A6ECF"/>
    <w:rsid w:val="006A701C"/>
    <w:rsid w:val="006A7111"/>
    <w:rsid w:val="006B0140"/>
    <w:rsid w:val="006B16CC"/>
    <w:rsid w:val="006B16F1"/>
    <w:rsid w:val="006B17A1"/>
    <w:rsid w:val="006B195B"/>
    <w:rsid w:val="006B1A4A"/>
    <w:rsid w:val="006B1D6C"/>
    <w:rsid w:val="006B2BBC"/>
    <w:rsid w:val="006B4247"/>
    <w:rsid w:val="006B628F"/>
    <w:rsid w:val="006B6614"/>
    <w:rsid w:val="006B66AC"/>
    <w:rsid w:val="006B7173"/>
    <w:rsid w:val="006B7564"/>
    <w:rsid w:val="006B78F4"/>
    <w:rsid w:val="006C0140"/>
    <w:rsid w:val="006C030F"/>
    <w:rsid w:val="006C18D5"/>
    <w:rsid w:val="006C2A6C"/>
    <w:rsid w:val="006C3AC0"/>
    <w:rsid w:val="006C45EE"/>
    <w:rsid w:val="006C4DF2"/>
    <w:rsid w:val="006C5D2E"/>
    <w:rsid w:val="006D360B"/>
    <w:rsid w:val="006D551C"/>
    <w:rsid w:val="006D6234"/>
    <w:rsid w:val="006D7B62"/>
    <w:rsid w:val="006E06C1"/>
    <w:rsid w:val="006E12D1"/>
    <w:rsid w:val="006E24C8"/>
    <w:rsid w:val="006E2669"/>
    <w:rsid w:val="006E4161"/>
    <w:rsid w:val="006E4A03"/>
    <w:rsid w:val="006E5A07"/>
    <w:rsid w:val="006E622C"/>
    <w:rsid w:val="006E63FF"/>
    <w:rsid w:val="006E7AEA"/>
    <w:rsid w:val="006F1EB9"/>
    <w:rsid w:val="006F1ED2"/>
    <w:rsid w:val="006F34B9"/>
    <w:rsid w:val="006F561B"/>
    <w:rsid w:val="006F6542"/>
    <w:rsid w:val="006F71EF"/>
    <w:rsid w:val="006F7EB4"/>
    <w:rsid w:val="00700DB7"/>
    <w:rsid w:val="00701F01"/>
    <w:rsid w:val="00703099"/>
    <w:rsid w:val="00704B60"/>
    <w:rsid w:val="00706C7E"/>
    <w:rsid w:val="00707858"/>
    <w:rsid w:val="00707881"/>
    <w:rsid w:val="00707E01"/>
    <w:rsid w:val="0071086D"/>
    <w:rsid w:val="00711E32"/>
    <w:rsid w:val="007125E3"/>
    <w:rsid w:val="007160A2"/>
    <w:rsid w:val="00717B5F"/>
    <w:rsid w:val="00717DCD"/>
    <w:rsid w:val="007201D4"/>
    <w:rsid w:val="0072250B"/>
    <w:rsid w:val="007237D9"/>
    <w:rsid w:val="007262BD"/>
    <w:rsid w:val="007273AF"/>
    <w:rsid w:val="00730372"/>
    <w:rsid w:val="007318FD"/>
    <w:rsid w:val="00732A95"/>
    <w:rsid w:val="00732D20"/>
    <w:rsid w:val="007339CF"/>
    <w:rsid w:val="00734943"/>
    <w:rsid w:val="007357DC"/>
    <w:rsid w:val="00736AB5"/>
    <w:rsid w:val="00737718"/>
    <w:rsid w:val="00737DE7"/>
    <w:rsid w:val="0074071D"/>
    <w:rsid w:val="00741067"/>
    <w:rsid w:val="00742DA5"/>
    <w:rsid w:val="00743B41"/>
    <w:rsid w:val="00743C98"/>
    <w:rsid w:val="00743DD2"/>
    <w:rsid w:val="007441E0"/>
    <w:rsid w:val="00744E2E"/>
    <w:rsid w:val="00745D71"/>
    <w:rsid w:val="00747733"/>
    <w:rsid w:val="00750059"/>
    <w:rsid w:val="00750C5C"/>
    <w:rsid w:val="00750C8F"/>
    <w:rsid w:val="00751A32"/>
    <w:rsid w:val="00751E2E"/>
    <w:rsid w:val="00754030"/>
    <w:rsid w:val="00755E65"/>
    <w:rsid w:val="00756FDE"/>
    <w:rsid w:val="0075743F"/>
    <w:rsid w:val="0076020E"/>
    <w:rsid w:val="007606FF"/>
    <w:rsid w:val="007608F3"/>
    <w:rsid w:val="00762076"/>
    <w:rsid w:val="00762407"/>
    <w:rsid w:val="00763050"/>
    <w:rsid w:val="007635DF"/>
    <w:rsid w:val="007641DD"/>
    <w:rsid w:val="00765027"/>
    <w:rsid w:val="0076564C"/>
    <w:rsid w:val="00765BAF"/>
    <w:rsid w:val="007674D7"/>
    <w:rsid w:val="00767713"/>
    <w:rsid w:val="007717D5"/>
    <w:rsid w:val="007720BA"/>
    <w:rsid w:val="00773C96"/>
    <w:rsid w:val="007757AA"/>
    <w:rsid w:val="00775D73"/>
    <w:rsid w:val="0077682E"/>
    <w:rsid w:val="007774FF"/>
    <w:rsid w:val="007779B6"/>
    <w:rsid w:val="00777E3F"/>
    <w:rsid w:val="00781085"/>
    <w:rsid w:val="00781353"/>
    <w:rsid w:val="007814FD"/>
    <w:rsid w:val="007821A1"/>
    <w:rsid w:val="00782761"/>
    <w:rsid w:val="007835CA"/>
    <w:rsid w:val="00784727"/>
    <w:rsid w:val="00784B72"/>
    <w:rsid w:val="007857E4"/>
    <w:rsid w:val="0079254B"/>
    <w:rsid w:val="007926AE"/>
    <w:rsid w:val="007929FD"/>
    <w:rsid w:val="00793BEA"/>
    <w:rsid w:val="00794D02"/>
    <w:rsid w:val="00795159"/>
    <w:rsid w:val="00795362"/>
    <w:rsid w:val="00796180"/>
    <w:rsid w:val="00796778"/>
    <w:rsid w:val="00796A46"/>
    <w:rsid w:val="007A0C8F"/>
    <w:rsid w:val="007A187D"/>
    <w:rsid w:val="007A1D43"/>
    <w:rsid w:val="007A25D1"/>
    <w:rsid w:val="007A47B7"/>
    <w:rsid w:val="007A6015"/>
    <w:rsid w:val="007A70AE"/>
    <w:rsid w:val="007A7175"/>
    <w:rsid w:val="007A76B2"/>
    <w:rsid w:val="007A7771"/>
    <w:rsid w:val="007A7BEE"/>
    <w:rsid w:val="007A7D2C"/>
    <w:rsid w:val="007B11B8"/>
    <w:rsid w:val="007B19F9"/>
    <w:rsid w:val="007B1E5F"/>
    <w:rsid w:val="007B1FB6"/>
    <w:rsid w:val="007B2AC6"/>
    <w:rsid w:val="007B2D4F"/>
    <w:rsid w:val="007B4126"/>
    <w:rsid w:val="007B43DD"/>
    <w:rsid w:val="007B5220"/>
    <w:rsid w:val="007B700C"/>
    <w:rsid w:val="007B7B63"/>
    <w:rsid w:val="007C0011"/>
    <w:rsid w:val="007C0818"/>
    <w:rsid w:val="007C1CBB"/>
    <w:rsid w:val="007C3CB5"/>
    <w:rsid w:val="007C3D31"/>
    <w:rsid w:val="007C5BCE"/>
    <w:rsid w:val="007C6789"/>
    <w:rsid w:val="007C78B7"/>
    <w:rsid w:val="007C79F4"/>
    <w:rsid w:val="007D1158"/>
    <w:rsid w:val="007D1A30"/>
    <w:rsid w:val="007D249E"/>
    <w:rsid w:val="007D46E8"/>
    <w:rsid w:val="007D6A3C"/>
    <w:rsid w:val="007D6B7D"/>
    <w:rsid w:val="007E019E"/>
    <w:rsid w:val="007E033D"/>
    <w:rsid w:val="007E0B21"/>
    <w:rsid w:val="007E3F5F"/>
    <w:rsid w:val="007E4702"/>
    <w:rsid w:val="007E479F"/>
    <w:rsid w:val="007E4A59"/>
    <w:rsid w:val="007E58AF"/>
    <w:rsid w:val="007E5A05"/>
    <w:rsid w:val="007E6910"/>
    <w:rsid w:val="007E6B3F"/>
    <w:rsid w:val="007E7260"/>
    <w:rsid w:val="007E7AC6"/>
    <w:rsid w:val="007F2D37"/>
    <w:rsid w:val="007F31F6"/>
    <w:rsid w:val="007F4016"/>
    <w:rsid w:val="007F44B6"/>
    <w:rsid w:val="007F4670"/>
    <w:rsid w:val="007F53A3"/>
    <w:rsid w:val="007F6344"/>
    <w:rsid w:val="007F7747"/>
    <w:rsid w:val="00800317"/>
    <w:rsid w:val="008038AE"/>
    <w:rsid w:val="008038B5"/>
    <w:rsid w:val="00803E2B"/>
    <w:rsid w:val="00803E8B"/>
    <w:rsid w:val="008059CF"/>
    <w:rsid w:val="0080639A"/>
    <w:rsid w:val="00806868"/>
    <w:rsid w:val="00807269"/>
    <w:rsid w:val="0080765D"/>
    <w:rsid w:val="00807A0B"/>
    <w:rsid w:val="00807D6B"/>
    <w:rsid w:val="00810AEA"/>
    <w:rsid w:val="00810EA0"/>
    <w:rsid w:val="00811374"/>
    <w:rsid w:val="0081138D"/>
    <w:rsid w:val="00814B9B"/>
    <w:rsid w:val="008175A8"/>
    <w:rsid w:val="0082062E"/>
    <w:rsid w:val="008208DA"/>
    <w:rsid w:val="00822542"/>
    <w:rsid w:val="00824793"/>
    <w:rsid w:val="0082762A"/>
    <w:rsid w:val="0083034F"/>
    <w:rsid w:val="00830910"/>
    <w:rsid w:val="0083195C"/>
    <w:rsid w:val="008320CC"/>
    <w:rsid w:val="00833D66"/>
    <w:rsid w:val="00834E0A"/>
    <w:rsid w:val="00835241"/>
    <w:rsid w:val="00835833"/>
    <w:rsid w:val="008358D5"/>
    <w:rsid w:val="0083618D"/>
    <w:rsid w:val="00836311"/>
    <w:rsid w:val="00836FB1"/>
    <w:rsid w:val="008412FF"/>
    <w:rsid w:val="00844354"/>
    <w:rsid w:val="00844575"/>
    <w:rsid w:val="00844E8E"/>
    <w:rsid w:val="00845310"/>
    <w:rsid w:val="00845593"/>
    <w:rsid w:val="008458CF"/>
    <w:rsid w:val="00847137"/>
    <w:rsid w:val="0085146F"/>
    <w:rsid w:val="00852A90"/>
    <w:rsid w:val="00852FBB"/>
    <w:rsid w:val="00854955"/>
    <w:rsid w:val="00857096"/>
    <w:rsid w:val="00861418"/>
    <w:rsid w:val="00862E2B"/>
    <w:rsid w:val="008634D4"/>
    <w:rsid w:val="008636DD"/>
    <w:rsid w:val="0086404C"/>
    <w:rsid w:val="00864D77"/>
    <w:rsid w:val="008662CD"/>
    <w:rsid w:val="00866F37"/>
    <w:rsid w:val="00867A8E"/>
    <w:rsid w:val="00870014"/>
    <w:rsid w:val="00870335"/>
    <w:rsid w:val="00870A2E"/>
    <w:rsid w:val="00871C7B"/>
    <w:rsid w:val="00871E19"/>
    <w:rsid w:val="0087278D"/>
    <w:rsid w:val="00874B0C"/>
    <w:rsid w:val="00875325"/>
    <w:rsid w:val="008775ED"/>
    <w:rsid w:val="008779B1"/>
    <w:rsid w:val="00877C7A"/>
    <w:rsid w:val="008803ED"/>
    <w:rsid w:val="008804C2"/>
    <w:rsid w:val="008808C8"/>
    <w:rsid w:val="00881EF5"/>
    <w:rsid w:val="00882AF7"/>
    <w:rsid w:val="0088361F"/>
    <w:rsid w:val="00883C4A"/>
    <w:rsid w:val="0088446F"/>
    <w:rsid w:val="00885833"/>
    <w:rsid w:val="0088752F"/>
    <w:rsid w:val="00887AC7"/>
    <w:rsid w:val="008911B2"/>
    <w:rsid w:val="0089208B"/>
    <w:rsid w:val="00892F93"/>
    <w:rsid w:val="00894F17"/>
    <w:rsid w:val="00896026"/>
    <w:rsid w:val="00896052"/>
    <w:rsid w:val="00896422"/>
    <w:rsid w:val="00896F56"/>
    <w:rsid w:val="00897933"/>
    <w:rsid w:val="008A120E"/>
    <w:rsid w:val="008A2ABE"/>
    <w:rsid w:val="008A3158"/>
    <w:rsid w:val="008A3EDF"/>
    <w:rsid w:val="008A47E7"/>
    <w:rsid w:val="008A4D56"/>
    <w:rsid w:val="008A4E72"/>
    <w:rsid w:val="008B0303"/>
    <w:rsid w:val="008B19DF"/>
    <w:rsid w:val="008B2720"/>
    <w:rsid w:val="008B2C1B"/>
    <w:rsid w:val="008B303D"/>
    <w:rsid w:val="008B399A"/>
    <w:rsid w:val="008B41CE"/>
    <w:rsid w:val="008B458C"/>
    <w:rsid w:val="008B4C7F"/>
    <w:rsid w:val="008B5699"/>
    <w:rsid w:val="008B687B"/>
    <w:rsid w:val="008B7B13"/>
    <w:rsid w:val="008C5629"/>
    <w:rsid w:val="008C608C"/>
    <w:rsid w:val="008C661D"/>
    <w:rsid w:val="008C7A39"/>
    <w:rsid w:val="008C7BBE"/>
    <w:rsid w:val="008D1AF9"/>
    <w:rsid w:val="008D1D2D"/>
    <w:rsid w:val="008D1F22"/>
    <w:rsid w:val="008D2BC2"/>
    <w:rsid w:val="008D2E42"/>
    <w:rsid w:val="008D4C35"/>
    <w:rsid w:val="008D510E"/>
    <w:rsid w:val="008D6A7B"/>
    <w:rsid w:val="008D6B31"/>
    <w:rsid w:val="008D77D4"/>
    <w:rsid w:val="008E05FF"/>
    <w:rsid w:val="008E1A33"/>
    <w:rsid w:val="008E2420"/>
    <w:rsid w:val="008E345A"/>
    <w:rsid w:val="008E3977"/>
    <w:rsid w:val="008E3EF6"/>
    <w:rsid w:val="008E4EEB"/>
    <w:rsid w:val="008E52F5"/>
    <w:rsid w:val="008E5C7A"/>
    <w:rsid w:val="008E6139"/>
    <w:rsid w:val="008E657A"/>
    <w:rsid w:val="008E6837"/>
    <w:rsid w:val="008E77A9"/>
    <w:rsid w:val="008E793F"/>
    <w:rsid w:val="008E7B00"/>
    <w:rsid w:val="008E7C3C"/>
    <w:rsid w:val="008F02F8"/>
    <w:rsid w:val="008F03D7"/>
    <w:rsid w:val="008F114D"/>
    <w:rsid w:val="008F1E62"/>
    <w:rsid w:val="008F24C8"/>
    <w:rsid w:val="008F30A8"/>
    <w:rsid w:val="008F6721"/>
    <w:rsid w:val="008F7BF6"/>
    <w:rsid w:val="008F7E0A"/>
    <w:rsid w:val="00902100"/>
    <w:rsid w:val="00902854"/>
    <w:rsid w:val="00902D79"/>
    <w:rsid w:val="009032AD"/>
    <w:rsid w:val="00904241"/>
    <w:rsid w:val="0090432D"/>
    <w:rsid w:val="0090553E"/>
    <w:rsid w:val="00906104"/>
    <w:rsid w:val="00906241"/>
    <w:rsid w:val="00912333"/>
    <w:rsid w:val="009126F0"/>
    <w:rsid w:val="00913B2B"/>
    <w:rsid w:val="00914819"/>
    <w:rsid w:val="00916BD7"/>
    <w:rsid w:val="00916BDA"/>
    <w:rsid w:val="00916C91"/>
    <w:rsid w:val="009174E9"/>
    <w:rsid w:val="00917E7B"/>
    <w:rsid w:val="009214DC"/>
    <w:rsid w:val="00922457"/>
    <w:rsid w:val="009254C0"/>
    <w:rsid w:val="009263FF"/>
    <w:rsid w:val="009267C0"/>
    <w:rsid w:val="009303D0"/>
    <w:rsid w:val="00930D33"/>
    <w:rsid w:val="0093130C"/>
    <w:rsid w:val="00931AC9"/>
    <w:rsid w:val="00932205"/>
    <w:rsid w:val="00932A2A"/>
    <w:rsid w:val="00934B0F"/>
    <w:rsid w:val="00934C75"/>
    <w:rsid w:val="00936608"/>
    <w:rsid w:val="00940CB7"/>
    <w:rsid w:val="00940E5F"/>
    <w:rsid w:val="00941F1F"/>
    <w:rsid w:val="009424DF"/>
    <w:rsid w:val="00943EB6"/>
    <w:rsid w:val="00945722"/>
    <w:rsid w:val="0094620F"/>
    <w:rsid w:val="009473DC"/>
    <w:rsid w:val="00947C2E"/>
    <w:rsid w:val="009522C7"/>
    <w:rsid w:val="00952C6C"/>
    <w:rsid w:val="00953FF8"/>
    <w:rsid w:val="00955448"/>
    <w:rsid w:val="0095621C"/>
    <w:rsid w:val="0095660F"/>
    <w:rsid w:val="0095677D"/>
    <w:rsid w:val="0096009D"/>
    <w:rsid w:val="00961B17"/>
    <w:rsid w:val="00962851"/>
    <w:rsid w:val="00963EE9"/>
    <w:rsid w:val="00964670"/>
    <w:rsid w:val="00965BAF"/>
    <w:rsid w:val="0097124B"/>
    <w:rsid w:val="0097140B"/>
    <w:rsid w:val="0097351C"/>
    <w:rsid w:val="0097471B"/>
    <w:rsid w:val="00974D71"/>
    <w:rsid w:val="009765CD"/>
    <w:rsid w:val="00976B89"/>
    <w:rsid w:val="00981192"/>
    <w:rsid w:val="00981A39"/>
    <w:rsid w:val="00981F0B"/>
    <w:rsid w:val="009821E9"/>
    <w:rsid w:val="00982444"/>
    <w:rsid w:val="00982716"/>
    <w:rsid w:val="00983FFA"/>
    <w:rsid w:val="009846C8"/>
    <w:rsid w:val="00985985"/>
    <w:rsid w:val="0098605A"/>
    <w:rsid w:val="009860DD"/>
    <w:rsid w:val="00986DAF"/>
    <w:rsid w:val="009876B5"/>
    <w:rsid w:val="00987711"/>
    <w:rsid w:val="0099023A"/>
    <w:rsid w:val="009914DE"/>
    <w:rsid w:val="009914E8"/>
    <w:rsid w:val="00992118"/>
    <w:rsid w:val="00993935"/>
    <w:rsid w:val="00994205"/>
    <w:rsid w:val="009965FC"/>
    <w:rsid w:val="0099750E"/>
    <w:rsid w:val="009977EE"/>
    <w:rsid w:val="009A049F"/>
    <w:rsid w:val="009A06F5"/>
    <w:rsid w:val="009A29EE"/>
    <w:rsid w:val="009A30F9"/>
    <w:rsid w:val="009A31E4"/>
    <w:rsid w:val="009A4151"/>
    <w:rsid w:val="009A5424"/>
    <w:rsid w:val="009A640B"/>
    <w:rsid w:val="009A7BDD"/>
    <w:rsid w:val="009B1B16"/>
    <w:rsid w:val="009B28F6"/>
    <w:rsid w:val="009B351E"/>
    <w:rsid w:val="009B3812"/>
    <w:rsid w:val="009B41D2"/>
    <w:rsid w:val="009B4B07"/>
    <w:rsid w:val="009B6248"/>
    <w:rsid w:val="009B7657"/>
    <w:rsid w:val="009B78A8"/>
    <w:rsid w:val="009B79D4"/>
    <w:rsid w:val="009B79EE"/>
    <w:rsid w:val="009C033B"/>
    <w:rsid w:val="009C0BE8"/>
    <w:rsid w:val="009C0D1C"/>
    <w:rsid w:val="009C1FEF"/>
    <w:rsid w:val="009C23C7"/>
    <w:rsid w:val="009C25DC"/>
    <w:rsid w:val="009C2849"/>
    <w:rsid w:val="009C2E7D"/>
    <w:rsid w:val="009C5123"/>
    <w:rsid w:val="009C5614"/>
    <w:rsid w:val="009C626A"/>
    <w:rsid w:val="009C6D0F"/>
    <w:rsid w:val="009C75BA"/>
    <w:rsid w:val="009C7C9D"/>
    <w:rsid w:val="009C7E4E"/>
    <w:rsid w:val="009D140A"/>
    <w:rsid w:val="009D352E"/>
    <w:rsid w:val="009D3ED9"/>
    <w:rsid w:val="009D562A"/>
    <w:rsid w:val="009D6F7D"/>
    <w:rsid w:val="009D777E"/>
    <w:rsid w:val="009D7804"/>
    <w:rsid w:val="009E19CC"/>
    <w:rsid w:val="009E2209"/>
    <w:rsid w:val="009E601D"/>
    <w:rsid w:val="009E7473"/>
    <w:rsid w:val="009F0366"/>
    <w:rsid w:val="009F039D"/>
    <w:rsid w:val="009F188A"/>
    <w:rsid w:val="009F1F95"/>
    <w:rsid w:val="009F2A4B"/>
    <w:rsid w:val="009F5DE5"/>
    <w:rsid w:val="009F610F"/>
    <w:rsid w:val="009F6F76"/>
    <w:rsid w:val="009F7C89"/>
    <w:rsid w:val="00A01470"/>
    <w:rsid w:val="00A0161D"/>
    <w:rsid w:val="00A01811"/>
    <w:rsid w:val="00A04E58"/>
    <w:rsid w:val="00A05667"/>
    <w:rsid w:val="00A058C8"/>
    <w:rsid w:val="00A05CAA"/>
    <w:rsid w:val="00A06CD7"/>
    <w:rsid w:val="00A07168"/>
    <w:rsid w:val="00A10C43"/>
    <w:rsid w:val="00A10E18"/>
    <w:rsid w:val="00A1376A"/>
    <w:rsid w:val="00A159BF"/>
    <w:rsid w:val="00A17AB2"/>
    <w:rsid w:val="00A20404"/>
    <w:rsid w:val="00A21162"/>
    <w:rsid w:val="00A21C06"/>
    <w:rsid w:val="00A21D10"/>
    <w:rsid w:val="00A22DC1"/>
    <w:rsid w:val="00A2511D"/>
    <w:rsid w:val="00A25560"/>
    <w:rsid w:val="00A25FC3"/>
    <w:rsid w:val="00A276CD"/>
    <w:rsid w:val="00A27D4E"/>
    <w:rsid w:val="00A30D84"/>
    <w:rsid w:val="00A32A19"/>
    <w:rsid w:val="00A32BA3"/>
    <w:rsid w:val="00A33745"/>
    <w:rsid w:val="00A33988"/>
    <w:rsid w:val="00A33C17"/>
    <w:rsid w:val="00A354FC"/>
    <w:rsid w:val="00A35649"/>
    <w:rsid w:val="00A37A85"/>
    <w:rsid w:val="00A37DFA"/>
    <w:rsid w:val="00A41136"/>
    <w:rsid w:val="00A427E9"/>
    <w:rsid w:val="00A42EB0"/>
    <w:rsid w:val="00A43823"/>
    <w:rsid w:val="00A43971"/>
    <w:rsid w:val="00A45947"/>
    <w:rsid w:val="00A45B8D"/>
    <w:rsid w:val="00A45E17"/>
    <w:rsid w:val="00A46693"/>
    <w:rsid w:val="00A47905"/>
    <w:rsid w:val="00A47A06"/>
    <w:rsid w:val="00A509B8"/>
    <w:rsid w:val="00A5163C"/>
    <w:rsid w:val="00A516EB"/>
    <w:rsid w:val="00A5472D"/>
    <w:rsid w:val="00A5527E"/>
    <w:rsid w:val="00A55876"/>
    <w:rsid w:val="00A55BEB"/>
    <w:rsid w:val="00A561B7"/>
    <w:rsid w:val="00A57EED"/>
    <w:rsid w:val="00A61E55"/>
    <w:rsid w:val="00A62AA2"/>
    <w:rsid w:val="00A62C23"/>
    <w:rsid w:val="00A632DE"/>
    <w:rsid w:val="00A63727"/>
    <w:rsid w:val="00A63A11"/>
    <w:rsid w:val="00A64515"/>
    <w:rsid w:val="00A6465F"/>
    <w:rsid w:val="00A64C54"/>
    <w:rsid w:val="00A6554D"/>
    <w:rsid w:val="00A66898"/>
    <w:rsid w:val="00A67D7D"/>
    <w:rsid w:val="00A67E65"/>
    <w:rsid w:val="00A70706"/>
    <w:rsid w:val="00A718B1"/>
    <w:rsid w:val="00A725BE"/>
    <w:rsid w:val="00A74048"/>
    <w:rsid w:val="00A7436E"/>
    <w:rsid w:val="00A75500"/>
    <w:rsid w:val="00A77660"/>
    <w:rsid w:val="00A80182"/>
    <w:rsid w:val="00A82B58"/>
    <w:rsid w:val="00A82BC0"/>
    <w:rsid w:val="00A8363C"/>
    <w:rsid w:val="00A83AF8"/>
    <w:rsid w:val="00A83C99"/>
    <w:rsid w:val="00A840AF"/>
    <w:rsid w:val="00A84F85"/>
    <w:rsid w:val="00A85DDC"/>
    <w:rsid w:val="00A86614"/>
    <w:rsid w:val="00A909BB"/>
    <w:rsid w:val="00A9547C"/>
    <w:rsid w:val="00A95491"/>
    <w:rsid w:val="00A95960"/>
    <w:rsid w:val="00A963B7"/>
    <w:rsid w:val="00A96ADD"/>
    <w:rsid w:val="00A97BB1"/>
    <w:rsid w:val="00A97D2E"/>
    <w:rsid w:val="00AA067C"/>
    <w:rsid w:val="00AA11D2"/>
    <w:rsid w:val="00AA1F4A"/>
    <w:rsid w:val="00AA553B"/>
    <w:rsid w:val="00AA5D54"/>
    <w:rsid w:val="00AA5D77"/>
    <w:rsid w:val="00AA6DEF"/>
    <w:rsid w:val="00AA6E2A"/>
    <w:rsid w:val="00AB00F7"/>
    <w:rsid w:val="00AB239C"/>
    <w:rsid w:val="00AB2F64"/>
    <w:rsid w:val="00AB43EF"/>
    <w:rsid w:val="00AB4484"/>
    <w:rsid w:val="00AB69A3"/>
    <w:rsid w:val="00AB7FEC"/>
    <w:rsid w:val="00AC0956"/>
    <w:rsid w:val="00AC0CF2"/>
    <w:rsid w:val="00AC0D5A"/>
    <w:rsid w:val="00AC144B"/>
    <w:rsid w:val="00AC1D99"/>
    <w:rsid w:val="00AC2294"/>
    <w:rsid w:val="00AC49D4"/>
    <w:rsid w:val="00AC5C67"/>
    <w:rsid w:val="00AC777E"/>
    <w:rsid w:val="00AD0A4E"/>
    <w:rsid w:val="00AD13CA"/>
    <w:rsid w:val="00AD163A"/>
    <w:rsid w:val="00AD2471"/>
    <w:rsid w:val="00AD3C55"/>
    <w:rsid w:val="00AD6414"/>
    <w:rsid w:val="00AD643A"/>
    <w:rsid w:val="00AD647D"/>
    <w:rsid w:val="00AD6AAF"/>
    <w:rsid w:val="00AE0363"/>
    <w:rsid w:val="00AE3CDF"/>
    <w:rsid w:val="00AE4A9F"/>
    <w:rsid w:val="00AE4CDA"/>
    <w:rsid w:val="00AE79C2"/>
    <w:rsid w:val="00AF034B"/>
    <w:rsid w:val="00AF0384"/>
    <w:rsid w:val="00AF04DA"/>
    <w:rsid w:val="00AF099B"/>
    <w:rsid w:val="00AF0C4B"/>
    <w:rsid w:val="00AF1294"/>
    <w:rsid w:val="00AF3053"/>
    <w:rsid w:val="00AF359B"/>
    <w:rsid w:val="00AF3A94"/>
    <w:rsid w:val="00AF48ED"/>
    <w:rsid w:val="00AF4D9F"/>
    <w:rsid w:val="00AF6E4F"/>
    <w:rsid w:val="00AF7B06"/>
    <w:rsid w:val="00B014B3"/>
    <w:rsid w:val="00B0298C"/>
    <w:rsid w:val="00B04885"/>
    <w:rsid w:val="00B04ACA"/>
    <w:rsid w:val="00B057AC"/>
    <w:rsid w:val="00B05CCB"/>
    <w:rsid w:val="00B06088"/>
    <w:rsid w:val="00B06886"/>
    <w:rsid w:val="00B07C01"/>
    <w:rsid w:val="00B1030F"/>
    <w:rsid w:val="00B10A25"/>
    <w:rsid w:val="00B11230"/>
    <w:rsid w:val="00B11F95"/>
    <w:rsid w:val="00B12E47"/>
    <w:rsid w:val="00B12F85"/>
    <w:rsid w:val="00B1524E"/>
    <w:rsid w:val="00B15A6F"/>
    <w:rsid w:val="00B15F9D"/>
    <w:rsid w:val="00B165E2"/>
    <w:rsid w:val="00B17F4C"/>
    <w:rsid w:val="00B20103"/>
    <w:rsid w:val="00B24E12"/>
    <w:rsid w:val="00B25A69"/>
    <w:rsid w:val="00B2644E"/>
    <w:rsid w:val="00B2656D"/>
    <w:rsid w:val="00B26798"/>
    <w:rsid w:val="00B26854"/>
    <w:rsid w:val="00B30B20"/>
    <w:rsid w:val="00B31E63"/>
    <w:rsid w:val="00B324E9"/>
    <w:rsid w:val="00B33721"/>
    <w:rsid w:val="00B33957"/>
    <w:rsid w:val="00B3663D"/>
    <w:rsid w:val="00B36EED"/>
    <w:rsid w:val="00B40192"/>
    <w:rsid w:val="00B410E3"/>
    <w:rsid w:val="00B41972"/>
    <w:rsid w:val="00B41AA9"/>
    <w:rsid w:val="00B43E5D"/>
    <w:rsid w:val="00B4608B"/>
    <w:rsid w:val="00B51BE1"/>
    <w:rsid w:val="00B520E9"/>
    <w:rsid w:val="00B528CC"/>
    <w:rsid w:val="00B537E7"/>
    <w:rsid w:val="00B53B83"/>
    <w:rsid w:val="00B53D85"/>
    <w:rsid w:val="00B54673"/>
    <w:rsid w:val="00B549F4"/>
    <w:rsid w:val="00B54FD4"/>
    <w:rsid w:val="00B60203"/>
    <w:rsid w:val="00B60698"/>
    <w:rsid w:val="00B6220A"/>
    <w:rsid w:val="00B62910"/>
    <w:rsid w:val="00B62999"/>
    <w:rsid w:val="00B6363B"/>
    <w:rsid w:val="00B636FC"/>
    <w:rsid w:val="00B647FA"/>
    <w:rsid w:val="00B66308"/>
    <w:rsid w:val="00B66E94"/>
    <w:rsid w:val="00B702CB"/>
    <w:rsid w:val="00B72B4D"/>
    <w:rsid w:val="00B7306E"/>
    <w:rsid w:val="00B73397"/>
    <w:rsid w:val="00B73551"/>
    <w:rsid w:val="00B741C2"/>
    <w:rsid w:val="00B741D0"/>
    <w:rsid w:val="00B75209"/>
    <w:rsid w:val="00B75C62"/>
    <w:rsid w:val="00B8104B"/>
    <w:rsid w:val="00B8124F"/>
    <w:rsid w:val="00B833C8"/>
    <w:rsid w:val="00B8455B"/>
    <w:rsid w:val="00B84C48"/>
    <w:rsid w:val="00B86210"/>
    <w:rsid w:val="00B86B4B"/>
    <w:rsid w:val="00B9020B"/>
    <w:rsid w:val="00B91DFB"/>
    <w:rsid w:val="00B92903"/>
    <w:rsid w:val="00B946E4"/>
    <w:rsid w:val="00B946E9"/>
    <w:rsid w:val="00B948A8"/>
    <w:rsid w:val="00B94D5F"/>
    <w:rsid w:val="00B95226"/>
    <w:rsid w:val="00B9594A"/>
    <w:rsid w:val="00B96575"/>
    <w:rsid w:val="00B972C5"/>
    <w:rsid w:val="00BA05FD"/>
    <w:rsid w:val="00BA0F6F"/>
    <w:rsid w:val="00BA452B"/>
    <w:rsid w:val="00BA6600"/>
    <w:rsid w:val="00BA6E23"/>
    <w:rsid w:val="00BB06A0"/>
    <w:rsid w:val="00BB0D27"/>
    <w:rsid w:val="00BB1E13"/>
    <w:rsid w:val="00BB3683"/>
    <w:rsid w:val="00BB58CE"/>
    <w:rsid w:val="00BB597E"/>
    <w:rsid w:val="00BB5A70"/>
    <w:rsid w:val="00BB7D2E"/>
    <w:rsid w:val="00BC002A"/>
    <w:rsid w:val="00BC0A5E"/>
    <w:rsid w:val="00BC0D5D"/>
    <w:rsid w:val="00BC0F3C"/>
    <w:rsid w:val="00BC421E"/>
    <w:rsid w:val="00BC4812"/>
    <w:rsid w:val="00BC5B52"/>
    <w:rsid w:val="00BC5E5B"/>
    <w:rsid w:val="00BC780C"/>
    <w:rsid w:val="00BD0744"/>
    <w:rsid w:val="00BD0876"/>
    <w:rsid w:val="00BD1C06"/>
    <w:rsid w:val="00BD3E12"/>
    <w:rsid w:val="00BD4C7C"/>
    <w:rsid w:val="00BD4F54"/>
    <w:rsid w:val="00BD5272"/>
    <w:rsid w:val="00BD5556"/>
    <w:rsid w:val="00BD746C"/>
    <w:rsid w:val="00BE070E"/>
    <w:rsid w:val="00BE0840"/>
    <w:rsid w:val="00BE0EDB"/>
    <w:rsid w:val="00BE1234"/>
    <w:rsid w:val="00BE1936"/>
    <w:rsid w:val="00BE2B64"/>
    <w:rsid w:val="00BE37C3"/>
    <w:rsid w:val="00BE3EF7"/>
    <w:rsid w:val="00BE6EB7"/>
    <w:rsid w:val="00BF0DC4"/>
    <w:rsid w:val="00BF3361"/>
    <w:rsid w:val="00BF3829"/>
    <w:rsid w:val="00BF391B"/>
    <w:rsid w:val="00BF470E"/>
    <w:rsid w:val="00BF514F"/>
    <w:rsid w:val="00BF64CD"/>
    <w:rsid w:val="00BF6945"/>
    <w:rsid w:val="00BF6BCE"/>
    <w:rsid w:val="00C01D90"/>
    <w:rsid w:val="00C023A4"/>
    <w:rsid w:val="00C02EB2"/>
    <w:rsid w:val="00C02F96"/>
    <w:rsid w:val="00C03207"/>
    <w:rsid w:val="00C03503"/>
    <w:rsid w:val="00C043E8"/>
    <w:rsid w:val="00C04814"/>
    <w:rsid w:val="00C05615"/>
    <w:rsid w:val="00C058D6"/>
    <w:rsid w:val="00C06922"/>
    <w:rsid w:val="00C07676"/>
    <w:rsid w:val="00C10464"/>
    <w:rsid w:val="00C10C4A"/>
    <w:rsid w:val="00C10F3F"/>
    <w:rsid w:val="00C126F6"/>
    <w:rsid w:val="00C1342C"/>
    <w:rsid w:val="00C13F43"/>
    <w:rsid w:val="00C14D91"/>
    <w:rsid w:val="00C15332"/>
    <w:rsid w:val="00C1643F"/>
    <w:rsid w:val="00C17BFD"/>
    <w:rsid w:val="00C20BAC"/>
    <w:rsid w:val="00C23E24"/>
    <w:rsid w:val="00C257E6"/>
    <w:rsid w:val="00C27C5B"/>
    <w:rsid w:val="00C31F77"/>
    <w:rsid w:val="00C32F20"/>
    <w:rsid w:val="00C33513"/>
    <w:rsid w:val="00C34DC5"/>
    <w:rsid w:val="00C35C4C"/>
    <w:rsid w:val="00C36E75"/>
    <w:rsid w:val="00C37840"/>
    <w:rsid w:val="00C412B4"/>
    <w:rsid w:val="00C4147F"/>
    <w:rsid w:val="00C41A9B"/>
    <w:rsid w:val="00C4214B"/>
    <w:rsid w:val="00C42A2F"/>
    <w:rsid w:val="00C4326C"/>
    <w:rsid w:val="00C43350"/>
    <w:rsid w:val="00C433B3"/>
    <w:rsid w:val="00C43F1B"/>
    <w:rsid w:val="00C4412A"/>
    <w:rsid w:val="00C4497B"/>
    <w:rsid w:val="00C44DC1"/>
    <w:rsid w:val="00C451D1"/>
    <w:rsid w:val="00C46099"/>
    <w:rsid w:val="00C47671"/>
    <w:rsid w:val="00C51BFB"/>
    <w:rsid w:val="00C5282C"/>
    <w:rsid w:val="00C53201"/>
    <w:rsid w:val="00C532EE"/>
    <w:rsid w:val="00C53D52"/>
    <w:rsid w:val="00C54149"/>
    <w:rsid w:val="00C54C5B"/>
    <w:rsid w:val="00C56382"/>
    <w:rsid w:val="00C5664D"/>
    <w:rsid w:val="00C56A95"/>
    <w:rsid w:val="00C57D97"/>
    <w:rsid w:val="00C602A0"/>
    <w:rsid w:val="00C61355"/>
    <w:rsid w:val="00C61900"/>
    <w:rsid w:val="00C6291F"/>
    <w:rsid w:val="00C637F9"/>
    <w:rsid w:val="00C63B35"/>
    <w:rsid w:val="00C63D78"/>
    <w:rsid w:val="00C65B4D"/>
    <w:rsid w:val="00C65CDA"/>
    <w:rsid w:val="00C71246"/>
    <w:rsid w:val="00C72728"/>
    <w:rsid w:val="00C74D1B"/>
    <w:rsid w:val="00C74F59"/>
    <w:rsid w:val="00C76AB1"/>
    <w:rsid w:val="00C77020"/>
    <w:rsid w:val="00C77C8F"/>
    <w:rsid w:val="00C800CD"/>
    <w:rsid w:val="00C815EE"/>
    <w:rsid w:val="00C81BE3"/>
    <w:rsid w:val="00C82491"/>
    <w:rsid w:val="00C82A37"/>
    <w:rsid w:val="00C82B73"/>
    <w:rsid w:val="00C846BE"/>
    <w:rsid w:val="00C846F8"/>
    <w:rsid w:val="00C87376"/>
    <w:rsid w:val="00C9024E"/>
    <w:rsid w:val="00C90BAD"/>
    <w:rsid w:val="00C92953"/>
    <w:rsid w:val="00C92E37"/>
    <w:rsid w:val="00C940B1"/>
    <w:rsid w:val="00C94782"/>
    <w:rsid w:val="00C94B87"/>
    <w:rsid w:val="00C94FA9"/>
    <w:rsid w:val="00C96216"/>
    <w:rsid w:val="00C97749"/>
    <w:rsid w:val="00C97960"/>
    <w:rsid w:val="00C97A78"/>
    <w:rsid w:val="00C97D03"/>
    <w:rsid w:val="00CA01B7"/>
    <w:rsid w:val="00CA0C27"/>
    <w:rsid w:val="00CA1F7B"/>
    <w:rsid w:val="00CA2785"/>
    <w:rsid w:val="00CA2AA7"/>
    <w:rsid w:val="00CA3987"/>
    <w:rsid w:val="00CA3B6F"/>
    <w:rsid w:val="00CA3DB1"/>
    <w:rsid w:val="00CA4670"/>
    <w:rsid w:val="00CA5DE0"/>
    <w:rsid w:val="00CA693E"/>
    <w:rsid w:val="00CA6F92"/>
    <w:rsid w:val="00CA710D"/>
    <w:rsid w:val="00CA75CF"/>
    <w:rsid w:val="00CA7886"/>
    <w:rsid w:val="00CA7D29"/>
    <w:rsid w:val="00CB005E"/>
    <w:rsid w:val="00CB0388"/>
    <w:rsid w:val="00CB1C4D"/>
    <w:rsid w:val="00CB2CDB"/>
    <w:rsid w:val="00CB3069"/>
    <w:rsid w:val="00CB362A"/>
    <w:rsid w:val="00CB41BF"/>
    <w:rsid w:val="00CB4A7E"/>
    <w:rsid w:val="00CB51C8"/>
    <w:rsid w:val="00CB6240"/>
    <w:rsid w:val="00CB6A27"/>
    <w:rsid w:val="00CB7104"/>
    <w:rsid w:val="00CC0A9D"/>
    <w:rsid w:val="00CC16F8"/>
    <w:rsid w:val="00CC23BB"/>
    <w:rsid w:val="00CC2ADA"/>
    <w:rsid w:val="00CC2F91"/>
    <w:rsid w:val="00CC3067"/>
    <w:rsid w:val="00CC4054"/>
    <w:rsid w:val="00CC46B2"/>
    <w:rsid w:val="00CC506C"/>
    <w:rsid w:val="00CC6EC0"/>
    <w:rsid w:val="00CC740B"/>
    <w:rsid w:val="00CC7993"/>
    <w:rsid w:val="00CD0DDE"/>
    <w:rsid w:val="00CD125A"/>
    <w:rsid w:val="00CD356E"/>
    <w:rsid w:val="00CD4944"/>
    <w:rsid w:val="00CD497F"/>
    <w:rsid w:val="00CD4E31"/>
    <w:rsid w:val="00CD598D"/>
    <w:rsid w:val="00CD59BF"/>
    <w:rsid w:val="00CD6341"/>
    <w:rsid w:val="00CE0911"/>
    <w:rsid w:val="00CE1F8B"/>
    <w:rsid w:val="00CE4197"/>
    <w:rsid w:val="00CE5C9B"/>
    <w:rsid w:val="00CE6F30"/>
    <w:rsid w:val="00CF0130"/>
    <w:rsid w:val="00CF0387"/>
    <w:rsid w:val="00CF196B"/>
    <w:rsid w:val="00CF310B"/>
    <w:rsid w:val="00CF3987"/>
    <w:rsid w:val="00CF44B7"/>
    <w:rsid w:val="00CF7650"/>
    <w:rsid w:val="00CF771C"/>
    <w:rsid w:val="00D0023F"/>
    <w:rsid w:val="00D008B4"/>
    <w:rsid w:val="00D02D99"/>
    <w:rsid w:val="00D03C10"/>
    <w:rsid w:val="00D058AD"/>
    <w:rsid w:val="00D05A68"/>
    <w:rsid w:val="00D06CBA"/>
    <w:rsid w:val="00D07A4B"/>
    <w:rsid w:val="00D07AAE"/>
    <w:rsid w:val="00D1004A"/>
    <w:rsid w:val="00D10E1E"/>
    <w:rsid w:val="00D119A6"/>
    <w:rsid w:val="00D120AD"/>
    <w:rsid w:val="00D122A8"/>
    <w:rsid w:val="00D150DD"/>
    <w:rsid w:val="00D158CF"/>
    <w:rsid w:val="00D15A76"/>
    <w:rsid w:val="00D1659B"/>
    <w:rsid w:val="00D20189"/>
    <w:rsid w:val="00D2029D"/>
    <w:rsid w:val="00D20782"/>
    <w:rsid w:val="00D21709"/>
    <w:rsid w:val="00D21AD4"/>
    <w:rsid w:val="00D226F6"/>
    <w:rsid w:val="00D22D3D"/>
    <w:rsid w:val="00D23232"/>
    <w:rsid w:val="00D26CBF"/>
    <w:rsid w:val="00D27422"/>
    <w:rsid w:val="00D2765F"/>
    <w:rsid w:val="00D279A0"/>
    <w:rsid w:val="00D305FD"/>
    <w:rsid w:val="00D3099E"/>
    <w:rsid w:val="00D313CD"/>
    <w:rsid w:val="00D322CA"/>
    <w:rsid w:val="00D327DE"/>
    <w:rsid w:val="00D3296C"/>
    <w:rsid w:val="00D33ABB"/>
    <w:rsid w:val="00D358D8"/>
    <w:rsid w:val="00D37878"/>
    <w:rsid w:val="00D405B8"/>
    <w:rsid w:val="00D41F71"/>
    <w:rsid w:val="00D426FF"/>
    <w:rsid w:val="00D4391E"/>
    <w:rsid w:val="00D4472C"/>
    <w:rsid w:val="00D44990"/>
    <w:rsid w:val="00D44B2F"/>
    <w:rsid w:val="00D45315"/>
    <w:rsid w:val="00D45C6F"/>
    <w:rsid w:val="00D45D58"/>
    <w:rsid w:val="00D4680A"/>
    <w:rsid w:val="00D46E98"/>
    <w:rsid w:val="00D47F39"/>
    <w:rsid w:val="00D507EB"/>
    <w:rsid w:val="00D50D43"/>
    <w:rsid w:val="00D50FA7"/>
    <w:rsid w:val="00D5198D"/>
    <w:rsid w:val="00D519D9"/>
    <w:rsid w:val="00D52BCE"/>
    <w:rsid w:val="00D54B71"/>
    <w:rsid w:val="00D556DA"/>
    <w:rsid w:val="00D556FE"/>
    <w:rsid w:val="00D55A87"/>
    <w:rsid w:val="00D55BCC"/>
    <w:rsid w:val="00D5618A"/>
    <w:rsid w:val="00D56726"/>
    <w:rsid w:val="00D57D8E"/>
    <w:rsid w:val="00D60304"/>
    <w:rsid w:val="00D61648"/>
    <w:rsid w:val="00D627CF"/>
    <w:rsid w:val="00D62D15"/>
    <w:rsid w:val="00D62F41"/>
    <w:rsid w:val="00D637A2"/>
    <w:rsid w:val="00D63E2B"/>
    <w:rsid w:val="00D64265"/>
    <w:rsid w:val="00D65EDA"/>
    <w:rsid w:val="00D6614F"/>
    <w:rsid w:val="00D66A8C"/>
    <w:rsid w:val="00D677F5"/>
    <w:rsid w:val="00D70137"/>
    <w:rsid w:val="00D701DD"/>
    <w:rsid w:val="00D70ED9"/>
    <w:rsid w:val="00D72E12"/>
    <w:rsid w:val="00D739E5"/>
    <w:rsid w:val="00D7401E"/>
    <w:rsid w:val="00D76322"/>
    <w:rsid w:val="00D7683A"/>
    <w:rsid w:val="00D76B28"/>
    <w:rsid w:val="00D8079A"/>
    <w:rsid w:val="00D81433"/>
    <w:rsid w:val="00D81922"/>
    <w:rsid w:val="00D82F09"/>
    <w:rsid w:val="00D842A5"/>
    <w:rsid w:val="00D8464B"/>
    <w:rsid w:val="00D85299"/>
    <w:rsid w:val="00D86209"/>
    <w:rsid w:val="00D8652F"/>
    <w:rsid w:val="00D87188"/>
    <w:rsid w:val="00D87309"/>
    <w:rsid w:val="00D901D8"/>
    <w:rsid w:val="00D92F6D"/>
    <w:rsid w:val="00D932B7"/>
    <w:rsid w:val="00D93A14"/>
    <w:rsid w:val="00D94015"/>
    <w:rsid w:val="00D95272"/>
    <w:rsid w:val="00D95384"/>
    <w:rsid w:val="00D953FA"/>
    <w:rsid w:val="00D955B5"/>
    <w:rsid w:val="00D955FF"/>
    <w:rsid w:val="00D97BDD"/>
    <w:rsid w:val="00DA05FF"/>
    <w:rsid w:val="00DA0A58"/>
    <w:rsid w:val="00DA296D"/>
    <w:rsid w:val="00DA3DCA"/>
    <w:rsid w:val="00DA4284"/>
    <w:rsid w:val="00DA4CCA"/>
    <w:rsid w:val="00DA57CC"/>
    <w:rsid w:val="00DA5B83"/>
    <w:rsid w:val="00DA620D"/>
    <w:rsid w:val="00DA65C8"/>
    <w:rsid w:val="00DA77BE"/>
    <w:rsid w:val="00DB0C74"/>
    <w:rsid w:val="00DB10C3"/>
    <w:rsid w:val="00DB12CD"/>
    <w:rsid w:val="00DB275A"/>
    <w:rsid w:val="00DB5C90"/>
    <w:rsid w:val="00DB7FF8"/>
    <w:rsid w:val="00DC042F"/>
    <w:rsid w:val="00DC1E71"/>
    <w:rsid w:val="00DC285D"/>
    <w:rsid w:val="00DC2B78"/>
    <w:rsid w:val="00DC5D8D"/>
    <w:rsid w:val="00DC6BF3"/>
    <w:rsid w:val="00DD0220"/>
    <w:rsid w:val="00DD11E9"/>
    <w:rsid w:val="00DD1426"/>
    <w:rsid w:val="00DD1F08"/>
    <w:rsid w:val="00DD37DB"/>
    <w:rsid w:val="00DD4CA6"/>
    <w:rsid w:val="00DD5B37"/>
    <w:rsid w:val="00DD5BAE"/>
    <w:rsid w:val="00DD607D"/>
    <w:rsid w:val="00DD6620"/>
    <w:rsid w:val="00DE11CB"/>
    <w:rsid w:val="00DE131D"/>
    <w:rsid w:val="00DE1D40"/>
    <w:rsid w:val="00DE2EBF"/>
    <w:rsid w:val="00DE31F0"/>
    <w:rsid w:val="00DE4079"/>
    <w:rsid w:val="00DE40B5"/>
    <w:rsid w:val="00DE4856"/>
    <w:rsid w:val="00DE5010"/>
    <w:rsid w:val="00DE5849"/>
    <w:rsid w:val="00DE5B34"/>
    <w:rsid w:val="00DE6182"/>
    <w:rsid w:val="00DE6F9A"/>
    <w:rsid w:val="00DE75DB"/>
    <w:rsid w:val="00DF0D50"/>
    <w:rsid w:val="00DF1C9E"/>
    <w:rsid w:val="00DF427D"/>
    <w:rsid w:val="00DF4A76"/>
    <w:rsid w:val="00DF6352"/>
    <w:rsid w:val="00DF6C62"/>
    <w:rsid w:val="00DF7182"/>
    <w:rsid w:val="00E00EAB"/>
    <w:rsid w:val="00E025E8"/>
    <w:rsid w:val="00E02F77"/>
    <w:rsid w:val="00E04330"/>
    <w:rsid w:val="00E04A09"/>
    <w:rsid w:val="00E052A7"/>
    <w:rsid w:val="00E05FC6"/>
    <w:rsid w:val="00E0748D"/>
    <w:rsid w:val="00E076FF"/>
    <w:rsid w:val="00E11301"/>
    <w:rsid w:val="00E1238B"/>
    <w:rsid w:val="00E125C0"/>
    <w:rsid w:val="00E12C08"/>
    <w:rsid w:val="00E1375E"/>
    <w:rsid w:val="00E143DE"/>
    <w:rsid w:val="00E15503"/>
    <w:rsid w:val="00E20DB8"/>
    <w:rsid w:val="00E21273"/>
    <w:rsid w:val="00E21593"/>
    <w:rsid w:val="00E22201"/>
    <w:rsid w:val="00E22FC6"/>
    <w:rsid w:val="00E25F94"/>
    <w:rsid w:val="00E30475"/>
    <w:rsid w:val="00E30C01"/>
    <w:rsid w:val="00E315C6"/>
    <w:rsid w:val="00E318E0"/>
    <w:rsid w:val="00E3287F"/>
    <w:rsid w:val="00E342EB"/>
    <w:rsid w:val="00E34CF1"/>
    <w:rsid w:val="00E35CCA"/>
    <w:rsid w:val="00E366B3"/>
    <w:rsid w:val="00E368BC"/>
    <w:rsid w:val="00E36C2C"/>
    <w:rsid w:val="00E36D8B"/>
    <w:rsid w:val="00E40961"/>
    <w:rsid w:val="00E410CB"/>
    <w:rsid w:val="00E41F3A"/>
    <w:rsid w:val="00E42A67"/>
    <w:rsid w:val="00E433CF"/>
    <w:rsid w:val="00E4377E"/>
    <w:rsid w:val="00E438D7"/>
    <w:rsid w:val="00E4435E"/>
    <w:rsid w:val="00E46165"/>
    <w:rsid w:val="00E46427"/>
    <w:rsid w:val="00E4723B"/>
    <w:rsid w:val="00E4770D"/>
    <w:rsid w:val="00E530AF"/>
    <w:rsid w:val="00E54BB2"/>
    <w:rsid w:val="00E55BE0"/>
    <w:rsid w:val="00E623A1"/>
    <w:rsid w:val="00E631A0"/>
    <w:rsid w:val="00E638AC"/>
    <w:rsid w:val="00E63A1E"/>
    <w:rsid w:val="00E648DA"/>
    <w:rsid w:val="00E650FC"/>
    <w:rsid w:val="00E65D98"/>
    <w:rsid w:val="00E716FC"/>
    <w:rsid w:val="00E742FB"/>
    <w:rsid w:val="00E746E6"/>
    <w:rsid w:val="00E74EB3"/>
    <w:rsid w:val="00E77935"/>
    <w:rsid w:val="00E80865"/>
    <w:rsid w:val="00E82187"/>
    <w:rsid w:val="00E82288"/>
    <w:rsid w:val="00E8271D"/>
    <w:rsid w:val="00E84D7F"/>
    <w:rsid w:val="00E909B8"/>
    <w:rsid w:val="00E90B4B"/>
    <w:rsid w:val="00E91ED6"/>
    <w:rsid w:val="00E920CB"/>
    <w:rsid w:val="00E92DB6"/>
    <w:rsid w:val="00E9350F"/>
    <w:rsid w:val="00E93599"/>
    <w:rsid w:val="00E95154"/>
    <w:rsid w:val="00E95325"/>
    <w:rsid w:val="00E95BA3"/>
    <w:rsid w:val="00E96595"/>
    <w:rsid w:val="00E96A8E"/>
    <w:rsid w:val="00EA09AC"/>
    <w:rsid w:val="00EA2442"/>
    <w:rsid w:val="00EA24DA"/>
    <w:rsid w:val="00EA296A"/>
    <w:rsid w:val="00EA568B"/>
    <w:rsid w:val="00EA66F3"/>
    <w:rsid w:val="00EA74DD"/>
    <w:rsid w:val="00EA760F"/>
    <w:rsid w:val="00EA7F3A"/>
    <w:rsid w:val="00EB12B3"/>
    <w:rsid w:val="00EB2C5B"/>
    <w:rsid w:val="00EB2D2F"/>
    <w:rsid w:val="00EB32F4"/>
    <w:rsid w:val="00EB511D"/>
    <w:rsid w:val="00EB6F9A"/>
    <w:rsid w:val="00EB72E7"/>
    <w:rsid w:val="00EC143C"/>
    <w:rsid w:val="00EC1A26"/>
    <w:rsid w:val="00EC2334"/>
    <w:rsid w:val="00EC2649"/>
    <w:rsid w:val="00EC39E1"/>
    <w:rsid w:val="00EC6925"/>
    <w:rsid w:val="00EC6F9B"/>
    <w:rsid w:val="00EC7AFB"/>
    <w:rsid w:val="00EC7EBB"/>
    <w:rsid w:val="00ED0768"/>
    <w:rsid w:val="00ED076B"/>
    <w:rsid w:val="00ED31EE"/>
    <w:rsid w:val="00ED32B2"/>
    <w:rsid w:val="00ED4A53"/>
    <w:rsid w:val="00ED57CB"/>
    <w:rsid w:val="00ED5C1C"/>
    <w:rsid w:val="00ED5FA5"/>
    <w:rsid w:val="00ED694D"/>
    <w:rsid w:val="00ED6B97"/>
    <w:rsid w:val="00ED6C2F"/>
    <w:rsid w:val="00ED6F36"/>
    <w:rsid w:val="00EE1FE1"/>
    <w:rsid w:val="00EE21DE"/>
    <w:rsid w:val="00EE24EE"/>
    <w:rsid w:val="00EE2514"/>
    <w:rsid w:val="00EE3C73"/>
    <w:rsid w:val="00EE4C3A"/>
    <w:rsid w:val="00EE5AFD"/>
    <w:rsid w:val="00EE6CAA"/>
    <w:rsid w:val="00EE766E"/>
    <w:rsid w:val="00EF20E2"/>
    <w:rsid w:val="00EF2C8B"/>
    <w:rsid w:val="00EF50A0"/>
    <w:rsid w:val="00EF57E4"/>
    <w:rsid w:val="00EF5A2C"/>
    <w:rsid w:val="00EF5E8B"/>
    <w:rsid w:val="00EF7BE0"/>
    <w:rsid w:val="00F0113D"/>
    <w:rsid w:val="00F01559"/>
    <w:rsid w:val="00F018DC"/>
    <w:rsid w:val="00F02759"/>
    <w:rsid w:val="00F02E26"/>
    <w:rsid w:val="00F033D0"/>
    <w:rsid w:val="00F04136"/>
    <w:rsid w:val="00F1036B"/>
    <w:rsid w:val="00F1036E"/>
    <w:rsid w:val="00F122EA"/>
    <w:rsid w:val="00F12846"/>
    <w:rsid w:val="00F12BB0"/>
    <w:rsid w:val="00F132C4"/>
    <w:rsid w:val="00F144E0"/>
    <w:rsid w:val="00F15913"/>
    <w:rsid w:val="00F16D8C"/>
    <w:rsid w:val="00F20372"/>
    <w:rsid w:val="00F20807"/>
    <w:rsid w:val="00F20FAE"/>
    <w:rsid w:val="00F20FCB"/>
    <w:rsid w:val="00F217E7"/>
    <w:rsid w:val="00F218C0"/>
    <w:rsid w:val="00F21A2E"/>
    <w:rsid w:val="00F23DA5"/>
    <w:rsid w:val="00F24148"/>
    <w:rsid w:val="00F24341"/>
    <w:rsid w:val="00F24974"/>
    <w:rsid w:val="00F252F3"/>
    <w:rsid w:val="00F25D0E"/>
    <w:rsid w:val="00F25F72"/>
    <w:rsid w:val="00F26CB3"/>
    <w:rsid w:val="00F27C00"/>
    <w:rsid w:val="00F336BF"/>
    <w:rsid w:val="00F33C89"/>
    <w:rsid w:val="00F342DB"/>
    <w:rsid w:val="00F36067"/>
    <w:rsid w:val="00F36B6B"/>
    <w:rsid w:val="00F37AD1"/>
    <w:rsid w:val="00F4108D"/>
    <w:rsid w:val="00F41693"/>
    <w:rsid w:val="00F44B08"/>
    <w:rsid w:val="00F463D9"/>
    <w:rsid w:val="00F468EE"/>
    <w:rsid w:val="00F47D0B"/>
    <w:rsid w:val="00F47F5B"/>
    <w:rsid w:val="00F51008"/>
    <w:rsid w:val="00F51377"/>
    <w:rsid w:val="00F51AC8"/>
    <w:rsid w:val="00F52B42"/>
    <w:rsid w:val="00F5410E"/>
    <w:rsid w:val="00F543E6"/>
    <w:rsid w:val="00F545FE"/>
    <w:rsid w:val="00F54E75"/>
    <w:rsid w:val="00F56A2B"/>
    <w:rsid w:val="00F56F59"/>
    <w:rsid w:val="00F57613"/>
    <w:rsid w:val="00F57897"/>
    <w:rsid w:val="00F60342"/>
    <w:rsid w:val="00F603DA"/>
    <w:rsid w:val="00F6062C"/>
    <w:rsid w:val="00F60870"/>
    <w:rsid w:val="00F6177D"/>
    <w:rsid w:val="00F61C46"/>
    <w:rsid w:val="00F624CB"/>
    <w:rsid w:val="00F62AB3"/>
    <w:rsid w:val="00F62F72"/>
    <w:rsid w:val="00F633BC"/>
    <w:rsid w:val="00F63938"/>
    <w:rsid w:val="00F63B53"/>
    <w:rsid w:val="00F64700"/>
    <w:rsid w:val="00F64F7A"/>
    <w:rsid w:val="00F650B2"/>
    <w:rsid w:val="00F65359"/>
    <w:rsid w:val="00F6650C"/>
    <w:rsid w:val="00F66F59"/>
    <w:rsid w:val="00F67CB9"/>
    <w:rsid w:val="00F7006D"/>
    <w:rsid w:val="00F70169"/>
    <w:rsid w:val="00F70381"/>
    <w:rsid w:val="00F726FA"/>
    <w:rsid w:val="00F72CB6"/>
    <w:rsid w:val="00F73147"/>
    <w:rsid w:val="00F73370"/>
    <w:rsid w:val="00F736C4"/>
    <w:rsid w:val="00F7539B"/>
    <w:rsid w:val="00F75493"/>
    <w:rsid w:val="00F76CE0"/>
    <w:rsid w:val="00F80265"/>
    <w:rsid w:val="00F81DBA"/>
    <w:rsid w:val="00F83D52"/>
    <w:rsid w:val="00F90B68"/>
    <w:rsid w:val="00F91348"/>
    <w:rsid w:val="00F91FBF"/>
    <w:rsid w:val="00F92440"/>
    <w:rsid w:val="00F9292C"/>
    <w:rsid w:val="00F93DE6"/>
    <w:rsid w:val="00F93E58"/>
    <w:rsid w:val="00F9439B"/>
    <w:rsid w:val="00F94728"/>
    <w:rsid w:val="00F9598F"/>
    <w:rsid w:val="00F95B76"/>
    <w:rsid w:val="00F96A9B"/>
    <w:rsid w:val="00F96C42"/>
    <w:rsid w:val="00FA01FE"/>
    <w:rsid w:val="00FA0944"/>
    <w:rsid w:val="00FA114B"/>
    <w:rsid w:val="00FA12C9"/>
    <w:rsid w:val="00FA2EDB"/>
    <w:rsid w:val="00FA3166"/>
    <w:rsid w:val="00FA385D"/>
    <w:rsid w:val="00FA53F0"/>
    <w:rsid w:val="00FA57D0"/>
    <w:rsid w:val="00FA65F9"/>
    <w:rsid w:val="00FA6A44"/>
    <w:rsid w:val="00FB07C0"/>
    <w:rsid w:val="00FB1AB1"/>
    <w:rsid w:val="00FB214C"/>
    <w:rsid w:val="00FB22BB"/>
    <w:rsid w:val="00FB2605"/>
    <w:rsid w:val="00FB3E36"/>
    <w:rsid w:val="00FB55AD"/>
    <w:rsid w:val="00FB5776"/>
    <w:rsid w:val="00FB5B5E"/>
    <w:rsid w:val="00FB5D4E"/>
    <w:rsid w:val="00FB5E85"/>
    <w:rsid w:val="00FB66CC"/>
    <w:rsid w:val="00FB69AF"/>
    <w:rsid w:val="00FB6CB8"/>
    <w:rsid w:val="00FB773D"/>
    <w:rsid w:val="00FC0454"/>
    <w:rsid w:val="00FC04AF"/>
    <w:rsid w:val="00FC0F38"/>
    <w:rsid w:val="00FC1B44"/>
    <w:rsid w:val="00FC2603"/>
    <w:rsid w:val="00FC3015"/>
    <w:rsid w:val="00FC439D"/>
    <w:rsid w:val="00FC6621"/>
    <w:rsid w:val="00FC7263"/>
    <w:rsid w:val="00FC7402"/>
    <w:rsid w:val="00FC7D98"/>
    <w:rsid w:val="00FD162E"/>
    <w:rsid w:val="00FD1F35"/>
    <w:rsid w:val="00FD246A"/>
    <w:rsid w:val="00FD3199"/>
    <w:rsid w:val="00FD3DAB"/>
    <w:rsid w:val="00FD4D80"/>
    <w:rsid w:val="00FD4E50"/>
    <w:rsid w:val="00FD5F24"/>
    <w:rsid w:val="00FD637D"/>
    <w:rsid w:val="00FD63CA"/>
    <w:rsid w:val="00FD75F7"/>
    <w:rsid w:val="00FD765D"/>
    <w:rsid w:val="00FD77A4"/>
    <w:rsid w:val="00FD793E"/>
    <w:rsid w:val="00FD7F5A"/>
    <w:rsid w:val="00FE0000"/>
    <w:rsid w:val="00FE060C"/>
    <w:rsid w:val="00FE241F"/>
    <w:rsid w:val="00FE33E7"/>
    <w:rsid w:val="00FE4FA7"/>
    <w:rsid w:val="00FE66C0"/>
    <w:rsid w:val="00FE6A0E"/>
    <w:rsid w:val="00FE6F65"/>
    <w:rsid w:val="00FF2688"/>
    <w:rsid w:val="00FF2E3B"/>
    <w:rsid w:val="00FF3F17"/>
    <w:rsid w:val="00FF46A0"/>
    <w:rsid w:val="00FF59CA"/>
    <w:rsid w:val="00FF79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4B08"/>
    <w:pPr>
      <w:widowControl w:val="0"/>
    </w:pPr>
    <w:rPr>
      <w:kern w:val="2"/>
      <w:sz w:val="24"/>
      <w:szCs w:val="24"/>
    </w:rPr>
  </w:style>
  <w:style w:type="paragraph" w:styleId="1">
    <w:name w:val="heading 1"/>
    <w:basedOn w:val="a"/>
    <w:next w:val="a"/>
    <w:link w:val="10"/>
    <w:qFormat/>
    <w:rsid w:val="00A7436E"/>
    <w:pPr>
      <w:keepNext/>
      <w:spacing w:before="180" w:after="180"/>
      <w:jc w:val="center"/>
      <w:outlineLvl w:val="0"/>
    </w:pPr>
    <w:rPr>
      <w:rFonts w:eastAsia="標楷體"/>
      <w:b/>
      <w:bCs/>
      <w:kern w:val="52"/>
      <w:sz w:val="52"/>
      <w:szCs w:val="52"/>
      <w:lang w:val="x-none" w:eastAsia="x-none"/>
    </w:rPr>
  </w:style>
  <w:style w:type="paragraph" w:styleId="2">
    <w:name w:val="heading 2"/>
    <w:basedOn w:val="a"/>
    <w:next w:val="a"/>
    <w:link w:val="20"/>
    <w:uiPriority w:val="9"/>
    <w:qFormat/>
    <w:rsid w:val="003F281B"/>
    <w:pPr>
      <w:keepNext/>
      <w:spacing w:beforeLines="30" w:before="30" w:afterLines="30" w:after="30"/>
      <w:jc w:val="center"/>
      <w:outlineLvl w:val="1"/>
    </w:pPr>
    <w:rPr>
      <w:rFonts w:eastAsia="標楷體"/>
      <w:b/>
      <w:bCs/>
      <w:sz w:val="46"/>
      <w:szCs w:val="48"/>
      <w:lang w:val="x-none" w:eastAsia="x-none"/>
    </w:rPr>
  </w:style>
  <w:style w:type="paragraph" w:styleId="3">
    <w:name w:val="heading 3"/>
    <w:basedOn w:val="a"/>
    <w:next w:val="a"/>
    <w:link w:val="30"/>
    <w:uiPriority w:val="9"/>
    <w:qFormat/>
    <w:rsid w:val="003F281B"/>
    <w:pPr>
      <w:keepNext/>
      <w:spacing w:beforeLines="20" w:before="20" w:afterLines="20" w:after="20"/>
      <w:jc w:val="both"/>
      <w:outlineLvl w:val="2"/>
    </w:pPr>
    <w:rPr>
      <w:rFonts w:ascii="Arial" w:eastAsia="標楷體" w:hAnsi="Arial"/>
      <w:b/>
      <w:bCs/>
      <w:sz w:val="40"/>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題-1"/>
    <w:basedOn w:val="a"/>
    <w:rsid w:val="00A7436E"/>
    <w:pPr>
      <w:keepNext/>
      <w:spacing w:line="720" w:lineRule="auto"/>
      <w:jc w:val="center"/>
      <w:outlineLvl w:val="2"/>
    </w:pPr>
    <w:rPr>
      <w:rFonts w:ascii="Arial" w:eastAsia="標楷體" w:hAnsi="Arial"/>
      <w:b/>
      <w:bCs/>
      <w:sz w:val="36"/>
      <w:szCs w:val="36"/>
    </w:rPr>
  </w:style>
  <w:style w:type="paragraph" w:customStyle="1" w:styleId="-">
    <w:name w:val="內文-正"/>
    <w:basedOn w:val="a"/>
    <w:rsid w:val="00A7436E"/>
    <w:pPr>
      <w:spacing w:beforeLines="30" w:before="30" w:afterLines="30" w:after="30" w:line="520" w:lineRule="exact"/>
      <w:ind w:firstLineChars="200" w:firstLine="200"/>
      <w:jc w:val="both"/>
    </w:pPr>
    <w:rPr>
      <w:rFonts w:eastAsia="標楷體"/>
      <w:sz w:val="26"/>
    </w:rPr>
  </w:style>
  <w:style w:type="paragraph" w:customStyle="1" w:styleId="a3">
    <w:name w:val="一"/>
    <w:basedOn w:val="3"/>
    <w:link w:val="a4"/>
    <w:rsid w:val="003F281B"/>
    <w:rPr>
      <w:sz w:val="36"/>
    </w:rPr>
  </w:style>
  <w:style w:type="paragraph" w:customStyle="1" w:styleId="a5">
    <w:name w:val="(一)"/>
    <w:basedOn w:val="a3"/>
    <w:rsid w:val="003F281B"/>
    <w:pPr>
      <w:spacing w:before="72" w:after="72"/>
    </w:pPr>
    <w:rPr>
      <w:sz w:val="32"/>
    </w:rPr>
  </w:style>
  <w:style w:type="paragraph" w:customStyle="1" w:styleId="11">
    <w:name w:val="1."/>
    <w:basedOn w:val="a5"/>
    <w:autoRedefine/>
    <w:rsid w:val="003F281B"/>
    <w:rPr>
      <w:rFonts w:ascii="Times New Roman" w:eastAsia="新細明體" w:hAnsi="Times New Roman"/>
      <w:color w:val="000000"/>
      <w:sz w:val="28"/>
    </w:rPr>
  </w:style>
  <w:style w:type="table" w:styleId="a6">
    <w:name w:val="Table Grid"/>
    <w:basedOn w:val="a1"/>
    <w:uiPriority w:val="59"/>
    <w:rsid w:val="00B43E5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表次"/>
    <w:basedOn w:val="1"/>
    <w:rsid w:val="00B43E5D"/>
    <w:pPr>
      <w:spacing w:before="60" w:after="60"/>
      <w:outlineLvl w:val="6"/>
    </w:pPr>
    <w:rPr>
      <w:sz w:val="28"/>
    </w:rPr>
  </w:style>
  <w:style w:type="paragraph" w:customStyle="1" w:styleId="a8">
    <w:name w:val="單位"/>
    <w:basedOn w:val="a"/>
    <w:rsid w:val="00B43E5D"/>
    <w:pPr>
      <w:jc w:val="right"/>
    </w:pPr>
    <w:rPr>
      <w:rFonts w:eastAsia="標楷體"/>
      <w:sz w:val="20"/>
    </w:rPr>
  </w:style>
  <w:style w:type="paragraph" w:customStyle="1" w:styleId="a9">
    <w:name w:val="資料來源"/>
    <w:basedOn w:val="a"/>
    <w:link w:val="aa"/>
    <w:rsid w:val="00B43E5D"/>
    <w:rPr>
      <w:rFonts w:eastAsia="標楷體"/>
      <w:sz w:val="20"/>
      <w:lang w:val="x-none" w:eastAsia="x-none"/>
    </w:rPr>
  </w:style>
  <w:style w:type="paragraph" w:styleId="ab">
    <w:name w:val="footer"/>
    <w:basedOn w:val="a"/>
    <w:link w:val="ac"/>
    <w:uiPriority w:val="99"/>
    <w:rsid w:val="007F31F6"/>
    <w:pPr>
      <w:tabs>
        <w:tab w:val="center" w:pos="4153"/>
        <w:tab w:val="right" w:pos="8306"/>
      </w:tabs>
      <w:snapToGrid w:val="0"/>
    </w:pPr>
    <w:rPr>
      <w:sz w:val="20"/>
      <w:szCs w:val="20"/>
      <w:lang w:val="x-none" w:eastAsia="x-none"/>
    </w:rPr>
  </w:style>
  <w:style w:type="character" w:styleId="ad">
    <w:name w:val="page number"/>
    <w:basedOn w:val="a0"/>
    <w:rsid w:val="007F31F6"/>
  </w:style>
  <w:style w:type="paragraph" w:styleId="ae">
    <w:name w:val="header"/>
    <w:basedOn w:val="a"/>
    <w:link w:val="af"/>
    <w:uiPriority w:val="99"/>
    <w:rsid w:val="007F31F6"/>
    <w:pPr>
      <w:tabs>
        <w:tab w:val="center" w:pos="4153"/>
        <w:tab w:val="right" w:pos="8306"/>
      </w:tabs>
      <w:snapToGrid w:val="0"/>
    </w:pPr>
    <w:rPr>
      <w:sz w:val="20"/>
      <w:szCs w:val="20"/>
      <w:lang w:val="x-none" w:eastAsia="x-none"/>
    </w:rPr>
  </w:style>
  <w:style w:type="paragraph" w:customStyle="1" w:styleId="af0">
    <w:name w:val="圖次"/>
    <w:basedOn w:val="a7"/>
    <w:rsid w:val="00510EC9"/>
  </w:style>
  <w:style w:type="paragraph" w:styleId="12">
    <w:name w:val="toc 1"/>
    <w:basedOn w:val="a"/>
    <w:next w:val="a"/>
    <w:autoRedefine/>
    <w:uiPriority w:val="39"/>
    <w:rsid w:val="00284DC7"/>
    <w:pPr>
      <w:spacing w:line="460" w:lineRule="exact"/>
    </w:pPr>
    <w:rPr>
      <w:rFonts w:eastAsia="標楷體"/>
      <w:sz w:val="26"/>
    </w:rPr>
  </w:style>
  <w:style w:type="paragraph" w:styleId="21">
    <w:name w:val="toc 2"/>
    <w:basedOn w:val="a"/>
    <w:next w:val="a"/>
    <w:autoRedefine/>
    <w:uiPriority w:val="39"/>
    <w:rsid w:val="001A764B"/>
    <w:pPr>
      <w:tabs>
        <w:tab w:val="right" w:leader="dot" w:pos="8296"/>
      </w:tabs>
      <w:spacing w:line="460" w:lineRule="exact"/>
      <w:ind w:leftChars="200" w:left="480"/>
    </w:pPr>
    <w:rPr>
      <w:rFonts w:eastAsia="標楷體"/>
      <w:noProof/>
      <w:sz w:val="26"/>
    </w:rPr>
  </w:style>
  <w:style w:type="character" w:styleId="af1">
    <w:name w:val="Hyperlink"/>
    <w:uiPriority w:val="99"/>
    <w:rsid w:val="00AE4CDA"/>
    <w:rPr>
      <w:color w:val="0000FF"/>
      <w:u w:val="single"/>
    </w:rPr>
  </w:style>
  <w:style w:type="paragraph" w:customStyle="1" w:styleId="-2">
    <w:name w:val="題-2"/>
    <w:basedOn w:val="-1"/>
    <w:rsid w:val="00CF44B7"/>
    <w:pPr>
      <w:spacing w:line="720" w:lineRule="exact"/>
    </w:pPr>
    <w:rPr>
      <w:sz w:val="32"/>
    </w:rPr>
  </w:style>
  <w:style w:type="paragraph" w:customStyle="1" w:styleId="af2">
    <w:name w:val="表內字"/>
    <w:basedOn w:val="a"/>
    <w:rsid w:val="009F2A4B"/>
    <w:pPr>
      <w:spacing w:line="520" w:lineRule="exact"/>
    </w:pPr>
    <w:rPr>
      <w:rFonts w:eastAsia="標楷體"/>
      <w:sz w:val="28"/>
    </w:rPr>
  </w:style>
  <w:style w:type="paragraph" w:customStyle="1" w:styleId="af3">
    <w:name w:val="表內大字"/>
    <w:basedOn w:val="af2"/>
    <w:rsid w:val="00CF44B7"/>
    <w:pPr>
      <w:spacing w:line="720" w:lineRule="exact"/>
    </w:pPr>
    <w:rPr>
      <w:sz w:val="36"/>
    </w:rPr>
  </w:style>
  <w:style w:type="paragraph" w:customStyle="1" w:styleId="13">
    <w:name w:val="1"/>
    <w:basedOn w:val="a"/>
    <w:rsid w:val="00B528CC"/>
    <w:pPr>
      <w:widowControl/>
      <w:spacing w:after="160" w:line="240" w:lineRule="exact"/>
    </w:pPr>
    <w:rPr>
      <w:rFonts w:ascii="Verdana" w:hAnsi="Verdana"/>
      <w:kern w:val="0"/>
      <w:sz w:val="20"/>
      <w:szCs w:val="20"/>
      <w:lang w:eastAsia="en-US"/>
    </w:rPr>
  </w:style>
  <w:style w:type="character" w:customStyle="1" w:styleId="aa">
    <w:name w:val="資料來源 字元"/>
    <w:link w:val="a9"/>
    <w:rsid w:val="004712D1"/>
    <w:rPr>
      <w:rFonts w:eastAsia="標楷體"/>
      <w:kern w:val="2"/>
      <w:szCs w:val="24"/>
    </w:rPr>
  </w:style>
  <w:style w:type="paragraph" w:customStyle="1" w:styleId="af4">
    <w:name w:val="表格文字－左"/>
    <w:rsid w:val="004712D1"/>
    <w:pPr>
      <w:spacing w:before="40" w:after="40" w:line="280" w:lineRule="exact"/>
      <w:jc w:val="both"/>
    </w:pPr>
    <w:rPr>
      <w:rFonts w:eastAsia="標楷體"/>
      <w:sz w:val="22"/>
      <w:szCs w:val="22"/>
    </w:rPr>
  </w:style>
  <w:style w:type="paragraph" w:customStyle="1" w:styleId="af5">
    <w:name w:val="圖標題"/>
    <w:link w:val="af6"/>
    <w:rsid w:val="00625925"/>
    <w:pPr>
      <w:spacing w:line="360" w:lineRule="exact"/>
      <w:jc w:val="center"/>
    </w:pPr>
    <w:rPr>
      <w:rFonts w:eastAsia="標楷體"/>
      <w:b/>
      <w:sz w:val="28"/>
      <w:szCs w:val="28"/>
    </w:rPr>
  </w:style>
  <w:style w:type="character" w:customStyle="1" w:styleId="af6">
    <w:name w:val="圖標題 字元"/>
    <w:link w:val="af5"/>
    <w:rsid w:val="00625925"/>
    <w:rPr>
      <w:rFonts w:eastAsia="標楷體"/>
      <w:b/>
      <w:sz w:val="28"/>
      <w:szCs w:val="28"/>
      <w:lang w:bidi="ar-SA"/>
    </w:rPr>
  </w:style>
  <w:style w:type="paragraph" w:customStyle="1" w:styleId="af7">
    <w:name w:val="文章"/>
    <w:link w:val="af8"/>
    <w:rsid w:val="00FD5F24"/>
    <w:pPr>
      <w:spacing w:beforeLines="50" w:afterLines="50" w:line="520" w:lineRule="exact"/>
      <w:ind w:firstLineChars="200" w:firstLine="200"/>
      <w:jc w:val="both"/>
    </w:pPr>
    <w:rPr>
      <w:rFonts w:eastAsia="標楷體"/>
      <w:spacing w:val="10"/>
      <w:kern w:val="2"/>
      <w:sz w:val="28"/>
      <w:szCs w:val="28"/>
    </w:rPr>
  </w:style>
  <w:style w:type="character" w:customStyle="1" w:styleId="af8">
    <w:name w:val="文章 字元"/>
    <w:link w:val="af7"/>
    <w:rsid w:val="00FD5F24"/>
    <w:rPr>
      <w:rFonts w:eastAsia="標楷體"/>
      <w:spacing w:val="10"/>
      <w:kern w:val="2"/>
      <w:sz w:val="28"/>
      <w:szCs w:val="28"/>
      <w:lang w:bidi="ar-SA"/>
    </w:rPr>
  </w:style>
  <w:style w:type="character" w:customStyle="1" w:styleId="a4">
    <w:name w:val="一 字元"/>
    <w:link w:val="a3"/>
    <w:rsid w:val="00AF48ED"/>
    <w:rPr>
      <w:rFonts w:ascii="Arial" w:eastAsia="標楷體" w:hAnsi="Arial"/>
      <w:b/>
      <w:bCs/>
      <w:kern w:val="2"/>
      <w:sz w:val="36"/>
      <w:szCs w:val="36"/>
    </w:rPr>
  </w:style>
  <w:style w:type="paragraph" w:styleId="af9">
    <w:name w:val="table of figures"/>
    <w:basedOn w:val="a"/>
    <w:next w:val="a"/>
    <w:uiPriority w:val="99"/>
    <w:rsid w:val="00EC1A26"/>
    <w:pPr>
      <w:ind w:leftChars="400" w:left="400" w:hangingChars="200" w:hanging="200"/>
    </w:pPr>
  </w:style>
  <w:style w:type="paragraph" w:styleId="afa">
    <w:name w:val="Balloon Text"/>
    <w:basedOn w:val="a"/>
    <w:link w:val="afb"/>
    <w:uiPriority w:val="99"/>
    <w:rsid w:val="00682446"/>
    <w:rPr>
      <w:rFonts w:ascii="Cambria" w:hAnsi="Cambria"/>
      <w:sz w:val="18"/>
      <w:szCs w:val="18"/>
      <w:lang w:val="x-none" w:eastAsia="x-none"/>
    </w:rPr>
  </w:style>
  <w:style w:type="character" w:customStyle="1" w:styleId="afb">
    <w:name w:val="註解方塊文字 字元"/>
    <w:link w:val="afa"/>
    <w:uiPriority w:val="99"/>
    <w:rsid w:val="00682446"/>
    <w:rPr>
      <w:rFonts w:ascii="Cambria" w:eastAsia="新細明體" w:hAnsi="Cambria" w:cs="Times New Roman"/>
      <w:kern w:val="2"/>
      <w:sz w:val="18"/>
      <w:szCs w:val="18"/>
    </w:rPr>
  </w:style>
  <w:style w:type="character" w:customStyle="1" w:styleId="ac">
    <w:name w:val="頁尾 字元"/>
    <w:link w:val="ab"/>
    <w:uiPriority w:val="99"/>
    <w:rsid w:val="009522C7"/>
    <w:rPr>
      <w:kern w:val="2"/>
    </w:rPr>
  </w:style>
  <w:style w:type="paragraph" w:styleId="afc">
    <w:name w:val="Body Text"/>
    <w:basedOn w:val="a"/>
    <w:link w:val="afd"/>
    <w:unhideWhenUsed/>
    <w:rsid w:val="009522C7"/>
    <w:pPr>
      <w:jc w:val="both"/>
    </w:pPr>
    <w:rPr>
      <w:rFonts w:eastAsia="標楷體"/>
      <w:sz w:val="28"/>
      <w:lang w:val="x-none" w:eastAsia="x-none"/>
    </w:rPr>
  </w:style>
  <w:style w:type="character" w:customStyle="1" w:styleId="afd">
    <w:name w:val="本文 字元"/>
    <w:link w:val="afc"/>
    <w:rsid w:val="009522C7"/>
    <w:rPr>
      <w:rFonts w:eastAsia="標楷體"/>
      <w:kern w:val="2"/>
      <w:sz w:val="28"/>
      <w:szCs w:val="24"/>
      <w:lang w:val="x-none" w:eastAsia="x-none"/>
    </w:rPr>
  </w:style>
  <w:style w:type="character" w:customStyle="1" w:styleId="st">
    <w:name w:val="st"/>
    <w:rsid w:val="003718F2"/>
  </w:style>
  <w:style w:type="paragraph" w:styleId="afe">
    <w:name w:val="footnote text"/>
    <w:basedOn w:val="a"/>
    <w:link w:val="aff"/>
    <w:uiPriority w:val="99"/>
    <w:rsid w:val="00962851"/>
    <w:pPr>
      <w:snapToGrid w:val="0"/>
    </w:pPr>
    <w:rPr>
      <w:sz w:val="20"/>
      <w:szCs w:val="20"/>
      <w:lang w:val="x-none" w:eastAsia="x-none"/>
    </w:rPr>
  </w:style>
  <w:style w:type="character" w:customStyle="1" w:styleId="aff">
    <w:name w:val="註腳文字 字元"/>
    <w:link w:val="afe"/>
    <w:uiPriority w:val="99"/>
    <w:rsid w:val="00962851"/>
    <w:rPr>
      <w:kern w:val="2"/>
    </w:rPr>
  </w:style>
  <w:style w:type="character" w:styleId="aff0">
    <w:name w:val="footnote reference"/>
    <w:uiPriority w:val="99"/>
    <w:rsid w:val="00962851"/>
    <w:rPr>
      <w:vertAlign w:val="superscript"/>
    </w:rPr>
  </w:style>
  <w:style w:type="character" w:customStyle="1" w:styleId="20">
    <w:name w:val="標題 2 字元"/>
    <w:link w:val="2"/>
    <w:uiPriority w:val="9"/>
    <w:rsid w:val="00656BE7"/>
    <w:rPr>
      <w:rFonts w:eastAsia="標楷體"/>
      <w:b/>
      <w:bCs/>
      <w:kern w:val="2"/>
      <w:sz w:val="46"/>
      <w:szCs w:val="48"/>
    </w:rPr>
  </w:style>
  <w:style w:type="paragraph" w:customStyle="1" w:styleId="aff1">
    <w:name w:val="章名"/>
    <w:rsid w:val="007E0B21"/>
    <w:pPr>
      <w:spacing w:beforeLines="50" w:before="50" w:afterLines="50" w:after="50" w:line="680" w:lineRule="exact"/>
      <w:jc w:val="center"/>
    </w:pPr>
    <w:rPr>
      <w:rFonts w:eastAsia="文鼎特明"/>
      <w:spacing w:val="10"/>
      <w:kern w:val="2"/>
      <w:sz w:val="48"/>
      <w:szCs w:val="44"/>
    </w:rPr>
  </w:style>
  <w:style w:type="numbering" w:customStyle="1" w:styleId="14">
    <w:name w:val="無清單1"/>
    <w:next w:val="a2"/>
    <w:semiHidden/>
    <w:unhideWhenUsed/>
    <w:rsid w:val="001C0A38"/>
  </w:style>
  <w:style w:type="paragraph" w:styleId="aff2">
    <w:name w:val="No Spacing"/>
    <w:aliases w:val="內文段落"/>
    <w:uiPriority w:val="1"/>
    <w:qFormat/>
    <w:rsid w:val="001C0A38"/>
    <w:pPr>
      <w:widowControl w:val="0"/>
      <w:ind w:firstLineChars="200" w:firstLine="200"/>
    </w:pPr>
    <w:rPr>
      <w:rFonts w:ascii="Calibri" w:eastAsia="標楷體" w:hAnsi="Calibri"/>
      <w:kern w:val="2"/>
      <w:sz w:val="24"/>
      <w:szCs w:val="22"/>
    </w:rPr>
  </w:style>
  <w:style w:type="character" w:customStyle="1" w:styleId="10">
    <w:name w:val="標題 1 字元"/>
    <w:link w:val="1"/>
    <w:rsid w:val="001C0A38"/>
    <w:rPr>
      <w:rFonts w:eastAsia="標楷體"/>
      <w:b/>
      <w:bCs/>
      <w:kern w:val="52"/>
      <w:sz w:val="52"/>
      <w:szCs w:val="52"/>
    </w:rPr>
  </w:style>
  <w:style w:type="character" w:customStyle="1" w:styleId="30">
    <w:name w:val="標題 3 字元"/>
    <w:link w:val="3"/>
    <w:uiPriority w:val="9"/>
    <w:rsid w:val="001C0A38"/>
    <w:rPr>
      <w:rFonts w:ascii="Arial" w:eastAsia="標楷體" w:hAnsi="Arial"/>
      <w:b/>
      <w:bCs/>
      <w:kern w:val="2"/>
      <w:sz w:val="40"/>
      <w:szCs w:val="36"/>
    </w:rPr>
  </w:style>
  <w:style w:type="character" w:customStyle="1" w:styleId="af">
    <w:name w:val="頁首 字元"/>
    <w:link w:val="ae"/>
    <w:uiPriority w:val="99"/>
    <w:rsid w:val="001C0A38"/>
    <w:rPr>
      <w:kern w:val="2"/>
    </w:rPr>
  </w:style>
  <w:style w:type="table" w:customStyle="1" w:styleId="15">
    <w:name w:val="表格格線1"/>
    <w:basedOn w:val="a1"/>
    <w:next w:val="a6"/>
    <w:uiPriority w:val="59"/>
    <w:rsid w:val="001C0A3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1C0A38"/>
    <w:pPr>
      <w:widowControl/>
      <w:spacing w:before="100" w:beforeAutospacing="1" w:after="100" w:afterAutospacing="1"/>
    </w:pPr>
    <w:rPr>
      <w:rFonts w:ascii="新細明體" w:hAnsi="新細明體" w:cs="新細明體"/>
      <w:kern w:val="0"/>
    </w:rPr>
  </w:style>
  <w:style w:type="paragraph" w:styleId="aff3">
    <w:name w:val="List Paragraph"/>
    <w:basedOn w:val="a"/>
    <w:uiPriority w:val="99"/>
    <w:qFormat/>
    <w:rsid w:val="006A701C"/>
    <w:pPr>
      <w:ind w:leftChars="200" w:left="480"/>
    </w:pPr>
    <w:rPr>
      <w:rFonts w:ascii="Calibri" w:hAnsi="Calibri"/>
      <w:szCs w:val="22"/>
    </w:rPr>
  </w:style>
  <w:style w:type="paragraph" w:styleId="aff4">
    <w:name w:val="caption"/>
    <w:basedOn w:val="a"/>
    <w:next w:val="a"/>
    <w:unhideWhenUsed/>
    <w:qFormat/>
    <w:rsid w:val="00145EA3"/>
    <w:rPr>
      <w:sz w:val="20"/>
      <w:szCs w:val="20"/>
    </w:rPr>
  </w:style>
  <w:style w:type="numbering" w:customStyle="1" w:styleId="110">
    <w:name w:val="無清單11"/>
    <w:next w:val="a2"/>
    <w:uiPriority w:val="99"/>
    <w:semiHidden/>
    <w:unhideWhenUsed/>
    <w:rsid w:val="00072853"/>
  </w:style>
  <w:style w:type="character" w:styleId="aff5">
    <w:name w:val="FollowedHyperlink"/>
    <w:rsid w:val="00A2511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4B08"/>
    <w:pPr>
      <w:widowControl w:val="0"/>
    </w:pPr>
    <w:rPr>
      <w:kern w:val="2"/>
      <w:sz w:val="24"/>
      <w:szCs w:val="24"/>
    </w:rPr>
  </w:style>
  <w:style w:type="paragraph" w:styleId="1">
    <w:name w:val="heading 1"/>
    <w:basedOn w:val="a"/>
    <w:next w:val="a"/>
    <w:link w:val="10"/>
    <w:qFormat/>
    <w:rsid w:val="00A7436E"/>
    <w:pPr>
      <w:keepNext/>
      <w:spacing w:before="180" w:after="180"/>
      <w:jc w:val="center"/>
      <w:outlineLvl w:val="0"/>
    </w:pPr>
    <w:rPr>
      <w:rFonts w:eastAsia="標楷體"/>
      <w:b/>
      <w:bCs/>
      <w:kern w:val="52"/>
      <w:sz w:val="52"/>
      <w:szCs w:val="52"/>
      <w:lang w:val="x-none" w:eastAsia="x-none"/>
    </w:rPr>
  </w:style>
  <w:style w:type="paragraph" w:styleId="2">
    <w:name w:val="heading 2"/>
    <w:basedOn w:val="a"/>
    <w:next w:val="a"/>
    <w:link w:val="20"/>
    <w:uiPriority w:val="9"/>
    <w:qFormat/>
    <w:rsid w:val="003F281B"/>
    <w:pPr>
      <w:keepNext/>
      <w:spacing w:beforeLines="30" w:before="30" w:afterLines="30" w:after="30"/>
      <w:jc w:val="center"/>
      <w:outlineLvl w:val="1"/>
    </w:pPr>
    <w:rPr>
      <w:rFonts w:eastAsia="標楷體"/>
      <w:b/>
      <w:bCs/>
      <w:sz w:val="46"/>
      <w:szCs w:val="48"/>
      <w:lang w:val="x-none" w:eastAsia="x-none"/>
    </w:rPr>
  </w:style>
  <w:style w:type="paragraph" w:styleId="3">
    <w:name w:val="heading 3"/>
    <w:basedOn w:val="a"/>
    <w:next w:val="a"/>
    <w:link w:val="30"/>
    <w:uiPriority w:val="9"/>
    <w:qFormat/>
    <w:rsid w:val="003F281B"/>
    <w:pPr>
      <w:keepNext/>
      <w:spacing w:beforeLines="20" w:before="20" w:afterLines="20" w:after="20"/>
      <w:jc w:val="both"/>
      <w:outlineLvl w:val="2"/>
    </w:pPr>
    <w:rPr>
      <w:rFonts w:ascii="Arial" w:eastAsia="標楷體" w:hAnsi="Arial"/>
      <w:b/>
      <w:bCs/>
      <w:sz w:val="40"/>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題-1"/>
    <w:basedOn w:val="a"/>
    <w:rsid w:val="00A7436E"/>
    <w:pPr>
      <w:keepNext/>
      <w:spacing w:line="720" w:lineRule="auto"/>
      <w:jc w:val="center"/>
      <w:outlineLvl w:val="2"/>
    </w:pPr>
    <w:rPr>
      <w:rFonts w:ascii="Arial" w:eastAsia="標楷體" w:hAnsi="Arial"/>
      <w:b/>
      <w:bCs/>
      <w:sz w:val="36"/>
      <w:szCs w:val="36"/>
    </w:rPr>
  </w:style>
  <w:style w:type="paragraph" w:customStyle="1" w:styleId="-">
    <w:name w:val="內文-正"/>
    <w:basedOn w:val="a"/>
    <w:rsid w:val="00A7436E"/>
    <w:pPr>
      <w:spacing w:beforeLines="30" w:before="30" w:afterLines="30" w:after="30" w:line="520" w:lineRule="exact"/>
      <w:ind w:firstLineChars="200" w:firstLine="200"/>
      <w:jc w:val="both"/>
    </w:pPr>
    <w:rPr>
      <w:rFonts w:eastAsia="標楷體"/>
      <w:sz w:val="26"/>
    </w:rPr>
  </w:style>
  <w:style w:type="paragraph" w:customStyle="1" w:styleId="a3">
    <w:name w:val="一"/>
    <w:basedOn w:val="3"/>
    <w:link w:val="a4"/>
    <w:rsid w:val="003F281B"/>
    <w:rPr>
      <w:sz w:val="36"/>
    </w:rPr>
  </w:style>
  <w:style w:type="paragraph" w:customStyle="1" w:styleId="a5">
    <w:name w:val="(一)"/>
    <w:basedOn w:val="a3"/>
    <w:rsid w:val="003F281B"/>
    <w:pPr>
      <w:spacing w:before="72" w:after="72"/>
    </w:pPr>
    <w:rPr>
      <w:sz w:val="32"/>
    </w:rPr>
  </w:style>
  <w:style w:type="paragraph" w:customStyle="1" w:styleId="11">
    <w:name w:val="1."/>
    <w:basedOn w:val="a5"/>
    <w:autoRedefine/>
    <w:rsid w:val="003F281B"/>
    <w:rPr>
      <w:rFonts w:ascii="Times New Roman" w:eastAsia="新細明體" w:hAnsi="Times New Roman"/>
      <w:color w:val="000000"/>
      <w:sz w:val="28"/>
    </w:rPr>
  </w:style>
  <w:style w:type="table" w:styleId="a6">
    <w:name w:val="Table Grid"/>
    <w:basedOn w:val="a1"/>
    <w:uiPriority w:val="59"/>
    <w:rsid w:val="00B43E5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表次"/>
    <w:basedOn w:val="1"/>
    <w:rsid w:val="00B43E5D"/>
    <w:pPr>
      <w:spacing w:before="60" w:after="60"/>
      <w:outlineLvl w:val="6"/>
    </w:pPr>
    <w:rPr>
      <w:sz w:val="28"/>
    </w:rPr>
  </w:style>
  <w:style w:type="paragraph" w:customStyle="1" w:styleId="a8">
    <w:name w:val="單位"/>
    <w:basedOn w:val="a"/>
    <w:rsid w:val="00B43E5D"/>
    <w:pPr>
      <w:jc w:val="right"/>
    </w:pPr>
    <w:rPr>
      <w:rFonts w:eastAsia="標楷體"/>
      <w:sz w:val="20"/>
    </w:rPr>
  </w:style>
  <w:style w:type="paragraph" w:customStyle="1" w:styleId="a9">
    <w:name w:val="資料來源"/>
    <w:basedOn w:val="a"/>
    <w:link w:val="aa"/>
    <w:rsid w:val="00B43E5D"/>
    <w:rPr>
      <w:rFonts w:eastAsia="標楷體"/>
      <w:sz w:val="20"/>
      <w:lang w:val="x-none" w:eastAsia="x-none"/>
    </w:rPr>
  </w:style>
  <w:style w:type="paragraph" w:styleId="ab">
    <w:name w:val="footer"/>
    <w:basedOn w:val="a"/>
    <w:link w:val="ac"/>
    <w:uiPriority w:val="99"/>
    <w:rsid w:val="007F31F6"/>
    <w:pPr>
      <w:tabs>
        <w:tab w:val="center" w:pos="4153"/>
        <w:tab w:val="right" w:pos="8306"/>
      </w:tabs>
      <w:snapToGrid w:val="0"/>
    </w:pPr>
    <w:rPr>
      <w:sz w:val="20"/>
      <w:szCs w:val="20"/>
      <w:lang w:val="x-none" w:eastAsia="x-none"/>
    </w:rPr>
  </w:style>
  <w:style w:type="character" w:styleId="ad">
    <w:name w:val="page number"/>
    <w:basedOn w:val="a0"/>
    <w:rsid w:val="007F31F6"/>
  </w:style>
  <w:style w:type="paragraph" w:styleId="ae">
    <w:name w:val="header"/>
    <w:basedOn w:val="a"/>
    <w:link w:val="af"/>
    <w:uiPriority w:val="99"/>
    <w:rsid w:val="007F31F6"/>
    <w:pPr>
      <w:tabs>
        <w:tab w:val="center" w:pos="4153"/>
        <w:tab w:val="right" w:pos="8306"/>
      </w:tabs>
      <w:snapToGrid w:val="0"/>
    </w:pPr>
    <w:rPr>
      <w:sz w:val="20"/>
      <w:szCs w:val="20"/>
      <w:lang w:val="x-none" w:eastAsia="x-none"/>
    </w:rPr>
  </w:style>
  <w:style w:type="paragraph" w:customStyle="1" w:styleId="af0">
    <w:name w:val="圖次"/>
    <w:basedOn w:val="a7"/>
    <w:rsid w:val="00510EC9"/>
  </w:style>
  <w:style w:type="paragraph" w:styleId="12">
    <w:name w:val="toc 1"/>
    <w:basedOn w:val="a"/>
    <w:next w:val="a"/>
    <w:autoRedefine/>
    <w:uiPriority w:val="39"/>
    <w:rsid w:val="00284DC7"/>
    <w:pPr>
      <w:spacing w:line="460" w:lineRule="exact"/>
    </w:pPr>
    <w:rPr>
      <w:rFonts w:eastAsia="標楷體"/>
      <w:sz w:val="26"/>
    </w:rPr>
  </w:style>
  <w:style w:type="paragraph" w:styleId="21">
    <w:name w:val="toc 2"/>
    <w:basedOn w:val="a"/>
    <w:next w:val="a"/>
    <w:autoRedefine/>
    <w:uiPriority w:val="39"/>
    <w:rsid w:val="001A764B"/>
    <w:pPr>
      <w:tabs>
        <w:tab w:val="right" w:leader="dot" w:pos="8296"/>
      </w:tabs>
      <w:spacing w:line="460" w:lineRule="exact"/>
      <w:ind w:leftChars="200" w:left="480"/>
    </w:pPr>
    <w:rPr>
      <w:rFonts w:eastAsia="標楷體"/>
      <w:noProof/>
      <w:sz w:val="26"/>
    </w:rPr>
  </w:style>
  <w:style w:type="character" w:styleId="af1">
    <w:name w:val="Hyperlink"/>
    <w:uiPriority w:val="99"/>
    <w:rsid w:val="00AE4CDA"/>
    <w:rPr>
      <w:color w:val="0000FF"/>
      <w:u w:val="single"/>
    </w:rPr>
  </w:style>
  <w:style w:type="paragraph" w:customStyle="1" w:styleId="-2">
    <w:name w:val="題-2"/>
    <w:basedOn w:val="-1"/>
    <w:rsid w:val="00CF44B7"/>
    <w:pPr>
      <w:spacing w:line="720" w:lineRule="exact"/>
    </w:pPr>
    <w:rPr>
      <w:sz w:val="32"/>
    </w:rPr>
  </w:style>
  <w:style w:type="paragraph" w:customStyle="1" w:styleId="af2">
    <w:name w:val="表內字"/>
    <w:basedOn w:val="a"/>
    <w:rsid w:val="009F2A4B"/>
    <w:pPr>
      <w:spacing w:line="520" w:lineRule="exact"/>
    </w:pPr>
    <w:rPr>
      <w:rFonts w:eastAsia="標楷體"/>
      <w:sz w:val="28"/>
    </w:rPr>
  </w:style>
  <w:style w:type="paragraph" w:customStyle="1" w:styleId="af3">
    <w:name w:val="表內大字"/>
    <w:basedOn w:val="af2"/>
    <w:rsid w:val="00CF44B7"/>
    <w:pPr>
      <w:spacing w:line="720" w:lineRule="exact"/>
    </w:pPr>
    <w:rPr>
      <w:sz w:val="36"/>
    </w:rPr>
  </w:style>
  <w:style w:type="paragraph" w:customStyle="1" w:styleId="13">
    <w:name w:val="1"/>
    <w:basedOn w:val="a"/>
    <w:rsid w:val="00B528CC"/>
    <w:pPr>
      <w:widowControl/>
      <w:spacing w:after="160" w:line="240" w:lineRule="exact"/>
    </w:pPr>
    <w:rPr>
      <w:rFonts w:ascii="Verdana" w:hAnsi="Verdana"/>
      <w:kern w:val="0"/>
      <w:sz w:val="20"/>
      <w:szCs w:val="20"/>
      <w:lang w:eastAsia="en-US"/>
    </w:rPr>
  </w:style>
  <w:style w:type="character" w:customStyle="1" w:styleId="aa">
    <w:name w:val="資料來源 字元"/>
    <w:link w:val="a9"/>
    <w:rsid w:val="004712D1"/>
    <w:rPr>
      <w:rFonts w:eastAsia="標楷體"/>
      <w:kern w:val="2"/>
      <w:szCs w:val="24"/>
    </w:rPr>
  </w:style>
  <w:style w:type="paragraph" w:customStyle="1" w:styleId="af4">
    <w:name w:val="表格文字－左"/>
    <w:rsid w:val="004712D1"/>
    <w:pPr>
      <w:spacing w:before="40" w:after="40" w:line="280" w:lineRule="exact"/>
      <w:jc w:val="both"/>
    </w:pPr>
    <w:rPr>
      <w:rFonts w:eastAsia="標楷體"/>
      <w:sz w:val="22"/>
      <w:szCs w:val="22"/>
    </w:rPr>
  </w:style>
  <w:style w:type="paragraph" w:customStyle="1" w:styleId="af5">
    <w:name w:val="圖標題"/>
    <w:link w:val="af6"/>
    <w:rsid w:val="00625925"/>
    <w:pPr>
      <w:spacing w:line="360" w:lineRule="exact"/>
      <w:jc w:val="center"/>
    </w:pPr>
    <w:rPr>
      <w:rFonts w:eastAsia="標楷體"/>
      <w:b/>
      <w:sz w:val="28"/>
      <w:szCs w:val="28"/>
    </w:rPr>
  </w:style>
  <w:style w:type="character" w:customStyle="1" w:styleId="af6">
    <w:name w:val="圖標題 字元"/>
    <w:link w:val="af5"/>
    <w:rsid w:val="00625925"/>
    <w:rPr>
      <w:rFonts w:eastAsia="標楷體"/>
      <w:b/>
      <w:sz w:val="28"/>
      <w:szCs w:val="28"/>
      <w:lang w:bidi="ar-SA"/>
    </w:rPr>
  </w:style>
  <w:style w:type="paragraph" w:customStyle="1" w:styleId="af7">
    <w:name w:val="文章"/>
    <w:link w:val="af8"/>
    <w:rsid w:val="00FD5F24"/>
    <w:pPr>
      <w:spacing w:beforeLines="50" w:afterLines="50" w:line="520" w:lineRule="exact"/>
      <w:ind w:firstLineChars="200" w:firstLine="200"/>
      <w:jc w:val="both"/>
    </w:pPr>
    <w:rPr>
      <w:rFonts w:eastAsia="標楷體"/>
      <w:spacing w:val="10"/>
      <w:kern w:val="2"/>
      <w:sz w:val="28"/>
      <w:szCs w:val="28"/>
    </w:rPr>
  </w:style>
  <w:style w:type="character" w:customStyle="1" w:styleId="af8">
    <w:name w:val="文章 字元"/>
    <w:link w:val="af7"/>
    <w:rsid w:val="00FD5F24"/>
    <w:rPr>
      <w:rFonts w:eastAsia="標楷體"/>
      <w:spacing w:val="10"/>
      <w:kern w:val="2"/>
      <w:sz w:val="28"/>
      <w:szCs w:val="28"/>
      <w:lang w:bidi="ar-SA"/>
    </w:rPr>
  </w:style>
  <w:style w:type="character" w:customStyle="1" w:styleId="a4">
    <w:name w:val="一 字元"/>
    <w:link w:val="a3"/>
    <w:rsid w:val="00AF48ED"/>
    <w:rPr>
      <w:rFonts w:ascii="Arial" w:eastAsia="標楷體" w:hAnsi="Arial"/>
      <w:b/>
      <w:bCs/>
      <w:kern w:val="2"/>
      <w:sz w:val="36"/>
      <w:szCs w:val="36"/>
    </w:rPr>
  </w:style>
  <w:style w:type="paragraph" w:styleId="af9">
    <w:name w:val="table of figures"/>
    <w:basedOn w:val="a"/>
    <w:next w:val="a"/>
    <w:uiPriority w:val="99"/>
    <w:rsid w:val="00EC1A26"/>
    <w:pPr>
      <w:ind w:leftChars="400" w:left="400" w:hangingChars="200" w:hanging="200"/>
    </w:pPr>
  </w:style>
  <w:style w:type="paragraph" w:styleId="afa">
    <w:name w:val="Balloon Text"/>
    <w:basedOn w:val="a"/>
    <w:link w:val="afb"/>
    <w:uiPriority w:val="99"/>
    <w:rsid w:val="00682446"/>
    <w:rPr>
      <w:rFonts w:ascii="Cambria" w:hAnsi="Cambria"/>
      <w:sz w:val="18"/>
      <w:szCs w:val="18"/>
      <w:lang w:val="x-none" w:eastAsia="x-none"/>
    </w:rPr>
  </w:style>
  <w:style w:type="character" w:customStyle="1" w:styleId="afb">
    <w:name w:val="註解方塊文字 字元"/>
    <w:link w:val="afa"/>
    <w:uiPriority w:val="99"/>
    <w:rsid w:val="00682446"/>
    <w:rPr>
      <w:rFonts w:ascii="Cambria" w:eastAsia="新細明體" w:hAnsi="Cambria" w:cs="Times New Roman"/>
      <w:kern w:val="2"/>
      <w:sz w:val="18"/>
      <w:szCs w:val="18"/>
    </w:rPr>
  </w:style>
  <w:style w:type="character" w:customStyle="1" w:styleId="ac">
    <w:name w:val="頁尾 字元"/>
    <w:link w:val="ab"/>
    <w:uiPriority w:val="99"/>
    <w:rsid w:val="009522C7"/>
    <w:rPr>
      <w:kern w:val="2"/>
    </w:rPr>
  </w:style>
  <w:style w:type="paragraph" w:styleId="afc">
    <w:name w:val="Body Text"/>
    <w:basedOn w:val="a"/>
    <w:link w:val="afd"/>
    <w:unhideWhenUsed/>
    <w:rsid w:val="009522C7"/>
    <w:pPr>
      <w:jc w:val="both"/>
    </w:pPr>
    <w:rPr>
      <w:rFonts w:eastAsia="標楷體"/>
      <w:sz w:val="28"/>
      <w:lang w:val="x-none" w:eastAsia="x-none"/>
    </w:rPr>
  </w:style>
  <w:style w:type="character" w:customStyle="1" w:styleId="afd">
    <w:name w:val="本文 字元"/>
    <w:link w:val="afc"/>
    <w:rsid w:val="009522C7"/>
    <w:rPr>
      <w:rFonts w:eastAsia="標楷體"/>
      <w:kern w:val="2"/>
      <w:sz w:val="28"/>
      <w:szCs w:val="24"/>
      <w:lang w:val="x-none" w:eastAsia="x-none"/>
    </w:rPr>
  </w:style>
  <w:style w:type="character" w:customStyle="1" w:styleId="st">
    <w:name w:val="st"/>
    <w:rsid w:val="003718F2"/>
  </w:style>
  <w:style w:type="paragraph" w:styleId="afe">
    <w:name w:val="footnote text"/>
    <w:basedOn w:val="a"/>
    <w:link w:val="aff"/>
    <w:uiPriority w:val="99"/>
    <w:rsid w:val="00962851"/>
    <w:pPr>
      <w:snapToGrid w:val="0"/>
    </w:pPr>
    <w:rPr>
      <w:sz w:val="20"/>
      <w:szCs w:val="20"/>
      <w:lang w:val="x-none" w:eastAsia="x-none"/>
    </w:rPr>
  </w:style>
  <w:style w:type="character" w:customStyle="1" w:styleId="aff">
    <w:name w:val="註腳文字 字元"/>
    <w:link w:val="afe"/>
    <w:uiPriority w:val="99"/>
    <w:rsid w:val="00962851"/>
    <w:rPr>
      <w:kern w:val="2"/>
    </w:rPr>
  </w:style>
  <w:style w:type="character" w:styleId="aff0">
    <w:name w:val="footnote reference"/>
    <w:uiPriority w:val="99"/>
    <w:rsid w:val="00962851"/>
    <w:rPr>
      <w:vertAlign w:val="superscript"/>
    </w:rPr>
  </w:style>
  <w:style w:type="character" w:customStyle="1" w:styleId="20">
    <w:name w:val="標題 2 字元"/>
    <w:link w:val="2"/>
    <w:uiPriority w:val="9"/>
    <w:rsid w:val="00656BE7"/>
    <w:rPr>
      <w:rFonts w:eastAsia="標楷體"/>
      <w:b/>
      <w:bCs/>
      <w:kern w:val="2"/>
      <w:sz w:val="46"/>
      <w:szCs w:val="48"/>
    </w:rPr>
  </w:style>
  <w:style w:type="paragraph" w:customStyle="1" w:styleId="aff1">
    <w:name w:val="章名"/>
    <w:rsid w:val="007E0B21"/>
    <w:pPr>
      <w:spacing w:beforeLines="50" w:before="50" w:afterLines="50" w:after="50" w:line="680" w:lineRule="exact"/>
      <w:jc w:val="center"/>
    </w:pPr>
    <w:rPr>
      <w:rFonts w:eastAsia="文鼎特明"/>
      <w:spacing w:val="10"/>
      <w:kern w:val="2"/>
      <w:sz w:val="48"/>
      <w:szCs w:val="44"/>
    </w:rPr>
  </w:style>
  <w:style w:type="numbering" w:customStyle="1" w:styleId="14">
    <w:name w:val="無清單1"/>
    <w:next w:val="a2"/>
    <w:semiHidden/>
    <w:unhideWhenUsed/>
    <w:rsid w:val="001C0A38"/>
  </w:style>
  <w:style w:type="paragraph" w:styleId="aff2">
    <w:name w:val="No Spacing"/>
    <w:aliases w:val="內文段落"/>
    <w:uiPriority w:val="1"/>
    <w:qFormat/>
    <w:rsid w:val="001C0A38"/>
    <w:pPr>
      <w:widowControl w:val="0"/>
      <w:ind w:firstLineChars="200" w:firstLine="200"/>
    </w:pPr>
    <w:rPr>
      <w:rFonts w:ascii="Calibri" w:eastAsia="標楷體" w:hAnsi="Calibri"/>
      <w:kern w:val="2"/>
      <w:sz w:val="24"/>
      <w:szCs w:val="22"/>
    </w:rPr>
  </w:style>
  <w:style w:type="character" w:customStyle="1" w:styleId="10">
    <w:name w:val="標題 1 字元"/>
    <w:link w:val="1"/>
    <w:rsid w:val="001C0A38"/>
    <w:rPr>
      <w:rFonts w:eastAsia="標楷體"/>
      <w:b/>
      <w:bCs/>
      <w:kern w:val="52"/>
      <w:sz w:val="52"/>
      <w:szCs w:val="52"/>
    </w:rPr>
  </w:style>
  <w:style w:type="character" w:customStyle="1" w:styleId="30">
    <w:name w:val="標題 3 字元"/>
    <w:link w:val="3"/>
    <w:uiPriority w:val="9"/>
    <w:rsid w:val="001C0A38"/>
    <w:rPr>
      <w:rFonts w:ascii="Arial" w:eastAsia="標楷體" w:hAnsi="Arial"/>
      <w:b/>
      <w:bCs/>
      <w:kern w:val="2"/>
      <w:sz w:val="40"/>
      <w:szCs w:val="36"/>
    </w:rPr>
  </w:style>
  <w:style w:type="character" w:customStyle="1" w:styleId="af">
    <w:name w:val="頁首 字元"/>
    <w:link w:val="ae"/>
    <w:uiPriority w:val="99"/>
    <w:rsid w:val="001C0A38"/>
    <w:rPr>
      <w:kern w:val="2"/>
    </w:rPr>
  </w:style>
  <w:style w:type="table" w:customStyle="1" w:styleId="15">
    <w:name w:val="表格格線1"/>
    <w:basedOn w:val="a1"/>
    <w:next w:val="a6"/>
    <w:uiPriority w:val="59"/>
    <w:rsid w:val="001C0A3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1C0A38"/>
    <w:pPr>
      <w:widowControl/>
      <w:spacing w:before="100" w:beforeAutospacing="1" w:after="100" w:afterAutospacing="1"/>
    </w:pPr>
    <w:rPr>
      <w:rFonts w:ascii="新細明體" w:hAnsi="新細明體" w:cs="新細明體"/>
      <w:kern w:val="0"/>
    </w:rPr>
  </w:style>
  <w:style w:type="paragraph" w:styleId="aff3">
    <w:name w:val="List Paragraph"/>
    <w:basedOn w:val="a"/>
    <w:uiPriority w:val="99"/>
    <w:qFormat/>
    <w:rsid w:val="006A701C"/>
    <w:pPr>
      <w:ind w:leftChars="200" w:left="480"/>
    </w:pPr>
    <w:rPr>
      <w:rFonts w:ascii="Calibri" w:hAnsi="Calibri"/>
      <w:szCs w:val="22"/>
    </w:rPr>
  </w:style>
  <w:style w:type="paragraph" w:styleId="aff4">
    <w:name w:val="caption"/>
    <w:basedOn w:val="a"/>
    <w:next w:val="a"/>
    <w:unhideWhenUsed/>
    <w:qFormat/>
    <w:rsid w:val="00145EA3"/>
    <w:rPr>
      <w:sz w:val="20"/>
      <w:szCs w:val="20"/>
    </w:rPr>
  </w:style>
  <w:style w:type="numbering" w:customStyle="1" w:styleId="110">
    <w:name w:val="無清單11"/>
    <w:next w:val="a2"/>
    <w:uiPriority w:val="99"/>
    <w:semiHidden/>
    <w:unhideWhenUsed/>
    <w:rsid w:val="00072853"/>
  </w:style>
  <w:style w:type="character" w:styleId="aff5">
    <w:name w:val="FollowedHyperlink"/>
    <w:rsid w:val="00A2511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8131">
      <w:bodyDiv w:val="1"/>
      <w:marLeft w:val="0"/>
      <w:marRight w:val="0"/>
      <w:marTop w:val="0"/>
      <w:marBottom w:val="0"/>
      <w:divBdr>
        <w:top w:val="none" w:sz="0" w:space="0" w:color="auto"/>
        <w:left w:val="none" w:sz="0" w:space="0" w:color="auto"/>
        <w:bottom w:val="none" w:sz="0" w:space="0" w:color="auto"/>
        <w:right w:val="none" w:sz="0" w:space="0" w:color="auto"/>
      </w:divBdr>
    </w:div>
    <w:div w:id="41904083">
      <w:bodyDiv w:val="1"/>
      <w:marLeft w:val="0"/>
      <w:marRight w:val="0"/>
      <w:marTop w:val="0"/>
      <w:marBottom w:val="0"/>
      <w:divBdr>
        <w:top w:val="none" w:sz="0" w:space="0" w:color="auto"/>
        <w:left w:val="none" w:sz="0" w:space="0" w:color="auto"/>
        <w:bottom w:val="none" w:sz="0" w:space="0" w:color="auto"/>
        <w:right w:val="none" w:sz="0" w:space="0" w:color="auto"/>
      </w:divBdr>
    </w:div>
    <w:div w:id="179705450">
      <w:bodyDiv w:val="1"/>
      <w:marLeft w:val="0"/>
      <w:marRight w:val="0"/>
      <w:marTop w:val="0"/>
      <w:marBottom w:val="0"/>
      <w:divBdr>
        <w:top w:val="none" w:sz="0" w:space="0" w:color="auto"/>
        <w:left w:val="none" w:sz="0" w:space="0" w:color="auto"/>
        <w:bottom w:val="none" w:sz="0" w:space="0" w:color="auto"/>
        <w:right w:val="none" w:sz="0" w:space="0" w:color="auto"/>
      </w:divBdr>
    </w:div>
    <w:div w:id="266162179">
      <w:bodyDiv w:val="1"/>
      <w:marLeft w:val="0"/>
      <w:marRight w:val="0"/>
      <w:marTop w:val="0"/>
      <w:marBottom w:val="0"/>
      <w:divBdr>
        <w:top w:val="none" w:sz="0" w:space="0" w:color="auto"/>
        <w:left w:val="none" w:sz="0" w:space="0" w:color="auto"/>
        <w:bottom w:val="none" w:sz="0" w:space="0" w:color="auto"/>
        <w:right w:val="none" w:sz="0" w:space="0" w:color="auto"/>
      </w:divBdr>
    </w:div>
    <w:div w:id="597325873">
      <w:bodyDiv w:val="1"/>
      <w:marLeft w:val="0"/>
      <w:marRight w:val="0"/>
      <w:marTop w:val="0"/>
      <w:marBottom w:val="0"/>
      <w:divBdr>
        <w:top w:val="none" w:sz="0" w:space="0" w:color="auto"/>
        <w:left w:val="none" w:sz="0" w:space="0" w:color="auto"/>
        <w:bottom w:val="none" w:sz="0" w:space="0" w:color="auto"/>
        <w:right w:val="none" w:sz="0" w:space="0" w:color="auto"/>
      </w:divBdr>
    </w:div>
    <w:div w:id="601455294">
      <w:bodyDiv w:val="1"/>
      <w:marLeft w:val="0"/>
      <w:marRight w:val="0"/>
      <w:marTop w:val="0"/>
      <w:marBottom w:val="0"/>
      <w:divBdr>
        <w:top w:val="none" w:sz="0" w:space="0" w:color="auto"/>
        <w:left w:val="none" w:sz="0" w:space="0" w:color="auto"/>
        <w:bottom w:val="none" w:sz="0" w:space="0" w:color="auto"/>
        <w:right w:val="none" w:sz="0" w:space="0" w:color="auto"/>
      </w:divBdr>
    </w:div>
    <w:div w:id="675695987">
      <w:bodyDiv w:val="1"/>
      <w:marLeft w:val="0"/>
      <w:marRight w:val="0"/>
      <w:marTop w:val="0"/>
      <w:marBottom w:val="0"/>
      <w:divBdr>
        <w:top w:val="none" w:sz="0" w:space="0" w:color="auto"/>
        <w:left w:val="none" w:sz="0" w:space="0" w:color="auto"/>
        <w:bottom w:val="none" w:sz="0" w:space="0" w:color="auto"/>
        <w:right w:val="none" w:sz="0" w:space="0" w:color="auto"/>
      </w:divBdr>
    </w:div>
    <w:div w:id="680086177">
      <w:bodyDiv w:val="1"/>
      <w:marLeft w:val="0"/>
      <w:marRight w:val="0"/>
      <w:marTop w:val="0"/>
      <w:marBottom w:val="0"/>
      <w:divBdr>
        <w:top w:val="none" w:sz="0" w:space="0" w:color="auto"/>
        <w:left w:val="none" w:sz="0" w:space="0" w:color="auto"/>
        <w:bottom w:val="none" w:sz="0" w:space="0" w:color="auto"/>
        <w:right w:val="none" w:sz="0" w:space="0" w:color="auto"/>
      </w:divBdr>
      <w:divsChild>
        <w:div w:id="1704016554">
          <w:marLeft w:val="0"/>
          <w:marRight w:val="0"/>
          <w:marTop w:val="0"/>
          <w:marBottom w:val="0"/>
          <w:divBdr>
            <w:top w:val="none" w:sz="0" w:space="0" w:color="auto"/>
            <w:left w:val="none" w:sz="0" w:space="0" w:color="auto"/>
            <w:bottom w:val="none" w:sz="0" w:space="0" w:color="auto"/>
            <w:right w:val="none" w:sz="0" w:space="0" w:color="auto"/>
          </w:divBdr>
        </w:div>
      </w:divsChild>
    </w:div>
    <w:div w:id="725030442">
      <w:bodyDiv w:val="1"/>
      <w:marLeft w:val="0"/>
      <w:marRight w:val="0"/>
      <w:marTop w:val="0"/>
      <w:marBottom w:val="0"/>
      <w:divBdr>
        <w:top w:val="none" w:sz="0" w:space="0" w:color="auto"/>
        <w:left w:val="none" w:sz="0" w:space="0" w:color="auto"/>
        <w:bottom w:val="none" w:sz="0" w:space="0" w:color="auto"/>
        <w:right w:val="none" w:sz="0" w:space="0" w:color="auto"/>
      </w:divBdr>
    </w:div>
    <w:div w:id="833104561">
      <w:bodyDiv w:val="1"/>
      <w:marLeft w:val="0"/>
      <w:marRight w:val="0"/>
      <w:marTop w:val="0"/>
      <w:marBottom w:val="0"/>
      <w:divBdr>
        <w:top w:val="none" w:sz="0" w:space="0" w:color="auto"/>
        <w:left w:val="none" w:sz="0" w:space="0" w:color="auto"/>
        <w:bottom w:val="none" w:sz="0" w:space="0" w:color="auto"/>
        <w:right w:val="none" w:sz="0" w:space="0" w:color="auto"/>
      </w:divBdr>
    </w:div>
    <w:div w:id="970020529">
      <w:bodyDiv w:val="1"/>
      <w:marLeft w:val="0"/>
      <w:marRight w:val="0"/>
      <w:marTop w:val="0"/>
      <w:marBottom w:val="0"/>
      <w:divBdr>
        <w:top w:val="none" w:sz="0" w:space="0" w:color="auto"/>
        <w:left w:val="none" w:sz="0" w:space="0" w:color="auto"/>
        <w:bottom w:val="none" w:sz="0" w:space="0" w:color="auto"/>
        <w:right w:val="none" w:sz="0" w:space="0" w:color="auto"/>
      </w:divBdr>
    </w:div>
    <w:div w:id="1008682152">
      <w:bodyDiv w:val="1"/>
      <w:marLeft w:val="0"/>
      <w:marRight w:val="0"/>
      <w:marTop w:val="0"/>
      <w:marBottom w:val="0"/>
      <w:divBdr>
        <w:top w:val="none" w:sz="0" w:space="0" w:color="auto"/>
        <w:left w:val="none" w:sz="0" w:space="0" w:color="auto"/>
        <w:bottom w:val="none" w:sz="0" w:space="0" w:color="auto"/>
        <w:right w:val="none" w:sz="0" w:space="0" w:color="auto"/>
      </w:divBdr>
    </w:div>
    <w:div w:id="1009912652">
      <w:bodyDiv w:val="1"/>
      <w:marLeft w:val="0"/>
      <w:marRight w:val="0"/>
      <w:marTop w:val="0"/>
      <w:marBottom w:val="0"/>
      <w:divBdr>
        <w:top w:val="none" w:sz="0" w:space="0" w:color="auto"/>
        <w:left w:val="none" w:sz="0" w:space="0" w:color="auto"/>
        <w:bottom w:val="none" w:sz="0" w:space="0" w:color="auto"/>
        <w:right w:val="none" w:sz="0" w:space="0" w:color="auto"/>
      </w:divBdr>
    </w:div>
    <w:div w:id="1019284390">
      <w:bodyDiv w:val="1"/>
      <w:marLeft w:val="0"/>
      <w:marRight w:val="0"/>
      <w:marTop w:val="0"/>
      <w:marBottom w:val="0"/>
      <w:divBdr>
        <w:top w:val="none" w:sz="0" w:space="0" w:color="auto"/>
        <w:left w:val="none" w:sz="0" w:space="0" w:color="auto"/>
        <w:bottom w:val="none" w:sz="0" w:space="0" w:color="auto"/>
        <w:right w:val="none" w:sz="0" w:space="0" w:color="auto"/>
      </w:divBdr>
    </w:div>
    <w:div w:id="1075278679">
      <w:bodyDiv w:val="1"/>
      <w:marLeft w:val="0"/>
      <w:marRight w:val="0"/>
      <w:marTop w:val="0"/>
      <w:marBottom w:val="0"/>
      <w:divBdr>
        <w:top w:val="none" w:sz="0" w:space="0" w:color="auto"/>
        <w:left w:val="none" w:sz="0" w:space="0" w:color="auto"/>
        <w:bottom w:val="none" w:sz="0" w:space="0" w:color="auto"/>
        <w:right w:val="none" w:sz="0" w:space="0" w:color="auto"/>
      </w:divBdr>
    </w:div>
    <w:div w:id="1104765811">
      <w:bodyDiv w:val="1"/>
      <w:marLeft w:val="0"/>
      <w:marRight w:val="0"/>
      <w:marTop w:val="0"/>
      <w:marBottom w:val="0"/>
      <w:divBdr>
        <w:top w:val="none" w:sz="0" w:space="0" w:color="auto"/>
        <w:left w:val="none" w:sz="0" w:space="0" w:color="auto"/>
        <w:bottom w:val="none" w:sz="0" w:space="0" w:color="auto"/>
        <w:right w:val="none" w:sz="0" w:space="0" w:color="auto"/>
      </w:divBdr>
    </w:div>
    <w:div w:id="1116556099">
      <w:bodyDiv w:val="1"/>
      <w:marLeft w:val="0"/>
      <w:marRight w:val="0"/>
      <w:marTop w:val="0"/>
      <w:marBottom w:val="0"/>
      <w:divBdr>
        <w:top w:val="none" w:sz="0" w:space="0" w:color="auto"/>
        <w:left w:val="none" w:sz="0" w:space="0" w:color="auto"/>
        <w:bottom w:val="none" w:sz="0" w:space="0" w:color="auto"/>
        <w:right w:val="none" w:sz="0" w:space="0" w:color="auto"/>
      </w:divBdr>
    </w:div>
    <w:div w:id="1571229400">
      <w:bodyDiv w:val="1"/>
      <w:marLeft w:val="0"/>
      <w:marRight w:val="0"/>
      <w:marTop w:val="0"/>
      <w:marBottom w:val="0"/>
      <w:divBdr>
        <w:top w:val="none" w:sz="0" w:space="0" w:color="auto"/>
        <w:left w:val="none" w:sz="0" w:space="0" w:color="auto"/>
        <w:bottom w:val="none" w:sz="0" w:space="0" w:color="auto"/>
        <w:right w:val="none" w:sz="0" w:space="0" w:color="auto"/>
      </w:divBdr>
      <w:divsChild>
        <w:div w:id="242379222">
          <w:marLeft w:val="0"/>
          <w:marRight w:val="0"/>
          <w:marTop w:val="0"/>
          <w:marBottom w:val="300"/>
          <w:divBdr>
            <w:top w:val="none" w:sz="0" w:space="0" w:color="auto"/>
            <w:left w:val="none" w:sz="0" w:space="0" w:color="auto"/>
            <w:bottom w:val="single" w:sz="6" w:space="8" w:color="999999"/>
            <w:right w:val="none" w:sz="0" w:space="0" w:color="auto"/>
          </w:divBdr>
        </w:div>
      </w:divsChild>
    </w:div>
    <w:div w:id="1608080953">
      <w:bodyDiv w:val="1"/>
      <w:marLeft w:val="0"/>
      <w:marRight w:val="0"/>
      <w:marTop w:val="0"/>
      <w:marBottom w:val="0"/>
      <w:divBdr>
        <w:top w:val="none" w:sz="0" w:space="0" w:color="auto"/>
        <w:left w:val="none" w:sz="0" w:space="0" w:color="auto"/>
        <w:bottom w:val="none" w:sz="0" w:space="0" w:color="auto"/>
        <w:right w:val="none" w:sz="0" w:space="0" w:color="auto"/>
      </w:divBdr>
    </w:div>
    <w:div w:id="1685941928">
      <w:bodyDiv w:val="1"/>
      <w:marLeft w:val="0"/>
      <w:marRight w:val="0"/>
      <w:marTop w:val="0"/>
      <w:marBottom w:val="0"/>
      <w:divBdr>
        <w:top w:val="none" w:sz="0" w:space="0" w:color="auto"/>
        <w:left w:val="none" w:sz="0" w:space="0" w:color="auto"/>
        <w:bottom w:val="none" w:sz="0" w:space="0" w:color="auto"/>
        <w:right w:val="none" w:sz="0" w:space="0" w:color="auto"/>
      </w:divBdr>
    </w:div>
    <w:div w:id="2079015263">
      <w:bodyDiv w:val="1"/>
      <w:marLeft w:val="0"/>
      <w:marRight w:val="0"/>
      <w:marTop w:val="0"/>
      <w:marBottom w:val="0"/>
      <w:divBdr>
        <w:top w:val="none" w:sz="0" w:space="0" w:color="auto"/>
        <w:left w:val="none" w:sz="0" w:space="0" w:color="auto"/>
        <w:bottom w:val="none" w:sz="0" w:space="0" w:color="auto"/>
        <w:right w:val="none" w:sz="0" w:space="0" w:color="auto"/>
      </w:divBdr>
    </w:div>
    <w:div w:id="2145389722">
      <w:bodyDiv w:val="1"/>
      <w:marLeft w:val="0"/>
      <w:marRight w:val="0"/>
      <w:marTop w:val="0"/>
      <w:marBottom w:val="0"/>
      <w:divBdr>
        <w:top w:val="none" w:sz="0" w:space="0" w:color="auto"/>
        <w:left w:val="none" w:sz="0" w:space="0" w:color="auto"/>
        <w:bottom w:val="none" w:sz="0" w:space="0" w:color="auto"/>
        <w:right w:val="none" w:sz="0" w:space="0" w:color="auto"/>
      </w:divBdr>
      <w:divsChild>
        <w:div w:id="1388454744">
          <w:marLeft w:val="0"/>
          <w:marRight w:val="0"/>
          <w:marTop w:val="0"/>
          <w:marBottom w:val="0"/>
          <w:divBdr>
            <w:top w:val="none" w:sz="0" w:space="0" w:color="auto"/>
            <w:left w:val="none" w:sz="0" w:space="0" w:color="auto"/>
            <w:bottom w:val="single" w:sz="8" w:space="5" w:color="CCCCCC"/>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yperlink" Target="http://news.qq.com/zt2013/sbdylxjpjh/"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4.xm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29" Type="http://schemas.openxmlformats.org/officeDocument/2006/relationships/image" Target="media/image14.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money.163.com/keywords/9/8/988657df/1.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5.xml"/><Relationship Id="rId43" Type="http://schemas.openxmlformats.org/officeDocument/2006/relationships/footer" Target="footer7.xml"/></Relationships>
</file>

<file path=word/charts/_rels/chart1.xml.rels><?xml version="1.0" encoding="UTF-8" standalone="yes"?>
<Relationships xmlns="http://schemas.openxmlformats.org/package/2006/relationships"><Relationship Id="rId2" Type="http://schemas.openxmlformats.org/officeDocument/2006/relationships/oleObject" Target="file:///F:\20141024PC4343&#20633;&#20221;\Asus%20WebStorage\acid112341@gmail.com\MySyncFolder\Working\&#32722;&#26446;&#26032;&#25919;\20130514%20GDP,CP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Asus%20WebStorage\acid112341@gmail.com\MySyncFolder\Working\&#32722;&#26446;&#26032;&#25919;\&#22478;&#37806;&#21270;\&#22478;&#37806;&#21270;&#2957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Asus%20WebStorage\acid112341@gmail.com\MySyncFolder\Working\DATA\&#22283;&#27665;&#32147;&#28639;&#32317;&#37327;\&#20840;&#22283;GDP(&#21547;&#19977;&#2998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Asus%20WebStorage\acid112341@gmail.com\MySyncFolder\Working\&#33258;&#21205;&#21270;\&#32113;&#35336;&#22294;&#34920;\&#21214;&#21205;&#29983;&#29986;&#2114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Asus%20WebStorage\acid112341@gmail.com\MySyncFolder\Working\&#33258;&#21205;&#21270;\&#32113;&#35336;&#22294;&#34920;\&#21214;&#21205;&#29983;&#29986;&#21147;2.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GDP!$B$2</c:f>
              <c:strCache>
                <c:ptCount val="1"/>
                <c:pt idx="0">
                  <c:v>GDP累計值</c:v>
                </c:pt>
              </c:strCache>
            </c:strRef>
          </c:tx>
          <c:invertIfNegative val="0"/>
          <c:cat>
            <c:strRef>
              <c:f>GDP!$A$3:$A$9</c:f>
              <c:strCache>
                <c:ptCount val="7"/>
                <c:pt idx="0">
                  <c:v>2013第一季</c:v>
                </c:pt>
                <c:pt idx="1">
                  <c:v>2013第二季</c:v>
                </c:pt>
                <c:pt idx="2">
                  <c:v>2013第三季</c:v>
                </c:pt>
                <c:pt idx="3">
                  <c:v>2013第四季</c:v>
                </c:pt>
                <c:pt idx="4">
                  <c:v>2014第一季</c:v>
                </c:pt>
                <c:pt idx="5">
                  <c:v>2014第二季</c:v>
                </c:pt>
                <c:pt idx="6">
                  <c:v>2014第三季</c:v>
                </c:pt>
              </c:strCache>
            </c:strRef>
          </c:cat>
          <c:val>
            <c:numRef>
              <c:f>GDP!$B$3:$B$9</c:f>
              <c:numCache>
                <c:formatCode>_(* #,##0.00_);_(* \(#,##0.00\);_(* "-"??_);_(@_)</c:formatCode>
                <c:ptCount val="7"/>
                <c:pt idx="0">
                  <c:v>118862.08</c:v>
                </c:pt>
                <c:pt idx="1">
                  <c:v>248024.45</c:v>
                </c:pt>
                <c:pt idx="2">
                  <c:v>387100.24</c:v>
                </c:pt>
                <c:pt idx="3">
                  <c:v>568845.21</c:v>
                </c:pt>
                <c:pt idx="4">
                  <c:v>128213</c:v>
                </c:pt>
                <c:pt idx="5">
                  <c:v>269044</c:v>
                </c:pt>
                <c:pt idx="6">
                  <c:v>419908</c:v>
                </c:pt>
              </c:numCache>
            </c:numRef>
          </c:val>
        </c:ser>
        <c:dLbls>
          <c:showLegendKey val="0"/>
          <c:showVal val="0"/>
          <c:showCatName val="0"/>
          <c:showSerName val="0"/>
          <c:showPercent val="0"/>
          <c:showBubbleSize val="0"/>
        </c:dLbls>
        <c:gapWidth val="150"/>
        <c:axId val="241391488"/>
        <c:axId val="241393024"/>
      </c:barChart>
      <c:lineChart>
        <c:grouping val="standard"/>
        <c:varyColors val="0"/>
        <c:ser>
          <c:idx val="1"/>
          <c:order val="1"/>
          <c:tx>
            <c:strRef>
              <c:f>GDP!$C$2</c:f>
              <c:strCache>
                <c:ptCount val="1"/>
                <c:pt idx="0">
                  <c:v>GDP累計成長率</c:v>
                </c:pt>
              </c:strCache>
            </c:strRef>
          </c:tx>
          <c:cat>
            <c:strRef>
              <c:f>GDP!$A$3:$A$9</c:f>
              <c:strCache>
                <c:ptCount val="7"/>
                <c:pt idx="0">
                  <c:v>2013第一季</c:v>
                </c:pt>
                <c:pt idx="1">
                  <c:v>2013第二季</c:v>
                </c:pt>
                <c:pt idx="2">
                  <c:v>2013第三季</c:v>
                </c:pt>
                <c:pt idx="3">
                  <c:v>2013第四季</c:v>
                </c:pt>
                <c:pt idx="4">
                  <c:v>2014第一季</c:v>
                </c:pt>
                <c:pt idx="5">
                  <c:v>2014第二季</c:v>
                </c:pt>
                <c:pt idx="6">
                  <c:v>2014第三季</c:v>
                </c:pt>
              </c:strCache>
            </c:strRef>
          </c:cat>
          <c:val>
            <c:numRef>
              <c:f>GDP!$C$3:$C$9</c:f>
              <c:numCache>
                <c:formatCode>General</c:formatCode>
                <c:ptCount val="7"/>
                <c:pt idx="0">
                  <c:v>7.7</c:v>
                </c:pt>
                <c:pt idx="1">
                  <c:v>7.6</c:v>
                </c:pt>
                <c:pt idx="2">
                  <c:v>7.7</c:v>
                </c:pt>
                <c:pt idx="3">
                  <c:v>7.7</c:v>
                </c:pt>
                <c:pt idx="4">
                  <c:v>7.4</c:v>
                </c:pt>
                <c:pt idx="5">
                  <c:v>7.5</c:v>
                </c:pt>
                <c:pt idx="6">
                  <c:v>7.3</c:v>
                </c:pt>
              </c:numCache>
            </c:numRef>
          </c:val>
          <c:smooth val="0"/>
        </c:ser>
        <c:dLbls>
          <c:showLegendKey val="0"/>
          <c:showVal val="0"/>
          <c:showCatName val="0"/>
          <c:showSerName val="0"/>
          <c:showPercent val="0"/>
          <c:showBubbleSize val="0"/>
        </c:dLbls>
        <c:marker val="1"/>
        <c:smooth val="0"/>
        <c:axId val="241401216"/>
        <c:axId val="241399296"/>
      </c:lineChart>
      <c:catAx>
        <c:axId val="241391488"/>
        <c:scaling>
          <c:orientation val="minMax"/>
        </c:scaling>
        <c:delete val="0"/>
        <c:axPos val="b"/>
        <c:majorTickMark val="out"/>
        <c:minorTickMark val="none"/>
        <c:tickLblPos val="nextTo"/>
        <c:crossAx val="241393024"/>
        <c:crosses val="autoZero"/>
        <c:auto val="1"/>
        <c:lblAlgn val="ctr"/>
        <c:lblOffset val="100"/>
        <c:noMultiLvlLbl val="0"/>
      </c:catAx>
      <c:valAx>
        <c:axId val="241393024"/>
        <c:scaling>
          <c:orientation val="minMax"/>
        </c:scaling>
        <c:delete val="0"/>
        <c:axPos val="l"/>
        <c:majorGridlines/>
        <c:title>
          <c:tx>
            <c:rich>
              <a:bodyPr rot="0" vert="wordArtVertRtl"/>
              <a:lstStyle/>
              <a:p>
                <a:pPr>
                  <a:defRPr/>
                </a:pPr>
                <a:r>
                  <a:rPr lang="zh-TW" altLang="en-US"/>
                  <a:t>金額</a:t>
                </a:r>
                <a:r>
                  <a:rPr lang="en-US" altLang="zh-TW"/>
                  <a:t>(</a:t>
                </a:r>
                <a:r>
                  <a:rPr lang="zh-TW" altLang="en-US"/>
                  <a:t>億元</a:t>
                </a:r>
                <a:r>
                  <a:rPr lang="en-US" altLang="zh-TW"/>
                  <a:t>)</a:t>
                </a:r>
                <a:endParaRPr lang="zh-TW" altLang="en-US"/>
              </a:p>
            </c:rich>
          </c:tx>
          <c:overlay val="0"/>
        </c:title>
        <c:numFmt formatCode="#,##0_);[Red]\(#,##0\)" sourceLinked="0"/>
        <c:majorTickMark val="out"/>
        <c:minorTickMark val="none"/>
        <c:tickLblPos val="nextTo"/>
        <c:crossAx val="241391488"/>
        <c:crosses val="autoZero"/>
        <c:crossBetween val="between"/>
      </c:valAx>
      <c:valAx>
        <c:axId val="241399296"/>
        <c:scaling>
          <c:orientation val="minMax"/>
        </c:scaling>
        <c:delete val="0"/>
        <c:axPos val="r"/>
        <c:title>
          <c:tx>
            <c:rich>
              <a:bodyPr rot="0" vert="wordArtVertRtl"/>
              <a:lstStyle/>
              <a:p>
                <a:pPr>
                  <a:defRPr/>
                </a:pPr>
                <a:r>
                  <a:rPr lang="zh-TW" altLang="en-US"/>
                  <a:t>成長率</a:t>
                </a:r>
                <a:r>
                  <a:rPr lang="en-US" altLang="zh-TW"/>
                  <a:t>(%)</a:t>
                </a:r>
                <a:endParaRPr lang="zh-TW" altLang="en-US"/>
              </a:p>
            </c:rich>
          </c:tx>
          <c:overlay val="0"/>
        </c:title>
        <c:numFmt formatCode="#,##0.0_);[Red]\(#,##0.0\)" sourceLinked="0"/>
        <c:majorTickMark val="out"/>
        <c:minorTickMark val="none"/>
        <c:tickLblPos val="nextTo"/>
        <c:crossAx val="241401216"/>
        <c:crosses val="max"/>
        <c:crossBetween val="between"/>
      </c:valAx>
      <c:catAx>
        <c:axId val="241401216"/>
        <c:scaling>
          <c:orientation val="minMax"/>
        </c:scaling>
        <c:delete val="1"/>
        <c:axPos val="b"/>
        <c:majorTickMark val="out"/>
        <c:minorTickMark val="none"/>
        <c:tickLblPos val="nextTo"/>
        <c:crossAx val="241399296"/>
        <c:crosses val="autoZero"/>
        <c:auto val="1"/>
        <c:lblAlgn val="ctr"/>
        <c:lblOffset val="100"/>
        <c:noMultiLvlLbl val="0"/>
      </c:cat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城鎮化率!$D$3</c:f>
              <c:strCache>
                <c:ptCount val="1"/>
                <c:pt idx="0">
                  <c:v>常住人口</c:v>
                </c:pt>
              </c:strCache>
            </c:strRef>
          </c:tx>
          <c:dLbls>
            <c:dLbl>
              <c:idx val="0"/>
              <c:layout>
                <c:manualLayout>
                  <c:x val="-3.3522739734510643E-2"/>
                  <c:y val="-5.3342781687398914E-2"/>
                </c:manualLayout>
              </c:layout>
              <c:dLblPos val="r"/>
              <c:showLegendKey val="0"/>
              <c:showVal val="1"/>
              <c:showCatName val="0"/>
              <c:showSerName val="0"/>
              <c:showPercent val="0"/>
              <c:showBubbleSize val="0"/>
            </c:dLbl>
            <c:dLbl>
              <c:idx val="12"/>
              <c:layout>
                <c:manualLayout>
                  <c:x val="-4.1715295892921771E-2"/>
                  <c:y val="-4.8846854267591062E-2"/>
                </c:manualLayout>
              </c:layout>
              <c:dLblPos val="r"/>
              <c:showLegendKey val="0"/>
              <c:showVal val="1"/>
              <c:showCatName val="0"/>
              <c:showSerName val="0"/>
              <c:showPercent val="0"/>
              <c:showBubbleSize val="0"/>
            </c:dLbl>
            <c:dLbl>
              <c:idx val="22"/>
              <c:delete val="1"/>
            </c:dLbl>
            <c:dLbl>
              <c:idx val="25"/>
              <c:layout>
                <c:manualLayout>
                  <c:x val="-4.3197777777777779E-2"/>
                  <c:y val="-4.8959027777777775E-2"/>
                </c:manualLayout>
              </c:layout>
              <c:dLblPos val="r"/>
              <c:showLegendKey val="0"/>
              <c:showVal val="1"/>
              <c:showCatName val="0"/>
              <c:showSerName val="0"/>
              <c:showPercent val="0"/>
              <c:showBubbleSize val="0"/>
            </c:dLbl>
            <c:dLbl>
              <c:idx val="33"/>
              <c:layout>
                <c:manualLayout>
                  <c:x val="-5.2605185185185158E-2"/>
                  <c:y val="-2.6910416666666676E-2"/>
                </c:manualLayout>
              </c:layout>
              <c:dLblPos val="r"/>
              <c:showLegendKey val="0"/>
              <c:showVal val="1"/>
              <c:showCatName val="0"/>
              <c:showSerName val="0"/>
              <c:showPercent val="0"/>
              <c:showBubbleSize val="0"/>
            </c:dLbl>
            <c:dLbl>
              <c:idx val="34"/>
              <c:layout>
                <c:manualLayout>
                  <c:x val="-3.7691481481481486E-2"/>
                  <c:y val="-4.8959027777777775E-2"/>
                </c:manualLayout>
              </c:layout>
              <c:dLblPos val="r"/>
              <c:showLegendKey val="0"/>
              <c:showVal val="1"/>
              <c:showCatName val="0"/>
              <c:showSerName val="0"/>
              <c:showPercent val="0"/>
              <c:showBubbleSize val="0"/>
            </c:dLbl>
            <c:dLbl>
              <c:idx val="35"/>
              <c:layout>
                <c:manualLayout>
                  <c:x val="-4.9320370370370395E-3"/>
                  <c:y val="-7.1007638888888933E-2"/>
                </c:manualLayout>
              </c:layout>
              <c:dLblPos val="r"/>
              <c:showLegendKey val="0"/>
              <c:showVal val="1"/>
              <c:showCatName val="0"/>
              <c:showSerName val="0"/>
              <c:showPercent val="0"/>
              <c:showBubbleSize val="0"/>
            </c:dLbl>
            <c:dLblPos val="ctr"/>
            <c:showLegendKey val="0"/>
            <c:showVal val="0"/>
            <c:showCatName val="0"/>
            <c:showSerName val="0"/>
            <c:showPercent val="0"/>
            <c:showBubbleSize val="0"/>
          </c:dLbls>
          <c:cat>
            <c:numRef>
              <c:f>城鎮化率!$A$4:$A$39</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城鎮化率!$D$4:$D$39</c:f>
              <c:numCache>
                <c:formatCode>0.0</c:formatCode>
                <c:ptCount val="36"/>
                <c:pt idx="0">
                  <c:v>17.915207928609274</c:v>
                </c:pt>
                <c:pt idx="1">
                  <c:v>18.961062926739231</c:v>
                </c:pt>
                <c:pt idx="2">
                  <c:v>19.391114938452965</c:v>
                </c:pt>
                <c:pt idx="3">
                  <c:v>20.156487329123028</c:v>
                </c:pt>
                <c:pt idx="4">
                  <c:v>21.130501505105553</c:v>
                </c:pt>
                <c:pt idx="5">
                  <c:v>21.623563218390803</c:v>
                </c:pt>
                <c:pt idx="6">
                  <c:v>23.014268328909434</c:v>
                </c:pt>
                <c:pt idx="7">
                  <c:v>23.70690876798519</c:v>
                </c:pt>
                <c:pt idx="8">
                  <c:v>24.524914656720028</c:v>
                </c:pt>
                <c:pt idx="9">
                  <c:v>25.319304666056738</c:v>
                </c:pt>
                <c:pt idx="10">
                  <c:v>25.814674040314891</c:v>
                </c:pt>
                <c:pt idx="11">
                  <c:v>26.210249858035183</c:v>
                </c:pt>
                <c:pt idx="12">
                  <c:v>26.409697987457687</c:v>
                </c:pt>
                <c:pt idx="13">
                  <c:v>26.940245029052949</c:v>
                </c:pt>
                <c:pt idx="14">
                  <c:v>27.459866349181954</c:v>
                </c:pt>
                <c:pt idx="15">
                  <c:v>27.99007737286632</c:v>
                </c:pt>
                <c:pt idx="16">
                  <c:v>28.509803921568633</c:v>
                </c:pt>
                <c:pt idx="17">
                  <c:v>29.04038110649682</c:v>
                </c:pt>
                <c:pt idx="18">
                  <c:v>30.479863386415445</c:v>
                </c:pt>
                <c:pt idx="19">
                  <c:v>31.909954216750531</c:v>
                </c:pt>
                <c:pt idx="20">
                  <c:v>33.350165516467463</c:v>
                </c:pt>
                <c:pt idx="21">
                  <c:v>34.779705213616779</c:v>
                </c:pt>
                <c:pt idx="22">
                  <c:v>36.219751781163446</c:v>
                </c:pt>
                <c:pt idx="23">
                  <c:v>37.659742844382457</c:v>
                </c:pt>
                <c:pt idx="24">
                  <c:v>39.089783811977931</c:v>
                </c:pt>
                <c:pt idx="25">
                  <c:v>40.530229750748639</c:v>
                </c:pt>
                <c:pt idx="26">
                  <c:v>41.760008616179995</c:v>
                </c:pt>
                <c:pt idx="27">
                  <c:v>42.989996634953656</c:v>
                </c:pt>
                <c:pt idx="28">
                  <c:v>44.342865619864874</c:v>
                </c:pt>
                <c:pt idx="29">
                  <c:v>45.889002414307207</c:v>
                </c:pt>
                <c:pt idx="30">
                  <c:v>46.989134199786129</c:v>
                </c:pt>
                <c:pt idx="31">
                  <c:v>48.342000749344308</c:v>
                </c:pt>
                <c:pt idx="32">
                  <c:v>49.949996644070069</c:v>
                </c:pt>
                <c:pt idx="33">
                  <c:v>51.269996660110593</c:v>
                </c:pt>
                <c:pt idx="34">
                  <c:v>52.569997932114262</c:v>
                </c:pt>
                <c:pt idx="35">
                  <c:v>53.729643130107583</c:v>
                </c:pt>
              </c:numCache>
            </c:numRef>
          </c:val>
          <c:smooth val="0"/>
        </c:ser>
        <c:ser>
          <c:idx val="2"/>
          <c:order val="1"/>
          <c:tx>
            <c:strRef>
              <c:f>城鎮化率!$G$3</c:f>
              <c:strCache>
                <c:ptCount val="1"/>
                <c:pt idx="0">
                  <c:v>戶籍人口</c:v>
                </c:pt>
              </c:strCache>
            </c:strRef>
          </c:tx>
          <c:spPr>
            <a:ln w="25400" cap="flat" cmpd="sng" algn="ctr">
              <a:solidFill>
                <a:schemeClr val="accent5">
                  <a:shade val="50000"/>
                </a:schemeClr>
              </a:solidFill>
              <a:prstDash val="solid"/>
            </a:ln>
            <a:effectLst/>
          </c:spPr>
          <c:marker>
            <c:spPr>
              <a:solidFill>
                <a:schemeClr val="accent5"/>
              </a:solidFill>
              <a:ln w="25400" cap="flat" cmpd="sng" algn="ctr">
                <a:solidFill>
                  <a:schemeClr val="accent5">
                    <a:shade val="50000"/>
                  </a:schemeClr>
                </a:solidFill>
                <a:prstDash val="solid"/>
              </a:ln>
              <a:effectLst/>
            </c:spPr>
          </c:marker>
          <c:dLbls>
            <c:dLbl>
              <c:idx val="0"/>
              <c:layout>
                <c:manualLayout>
                  <c:x val="-3.3522739734510643E-2"/>
                  <c:y val="4.9810217126736334E-2"/>
                </c:manualLayout>
              </c:layout>
              <c:dLblPos val="r"/>
              <c:showLegendKey val="0"/>
              <c:showVal val="1"/>
              <c:showCatName val="0"/>
              <c:showSerName val="0"/>
              <c:showPercent val="0"/>
              <c:showBubbleSize val="0"/>
            </c:dLbl>
            <c:dLbl>
              <c:idx val="12"/>
              <c:layout>
                <c:manualLayout>
                  <c:x val="-4.4483345718577046E-2"/>
                  <c:y val="4.5314262266608112E-2"/>
                </c:manualLayout>
              </c:layout>
              <c:dLblPos val="r"/>
              <c:showLegendKey val="0"/>
              <c:showVal val="1"/>
              <c:showCatName val="0"/>
              <c:showSerName val="0"/>
              <c:showPercent val="0"/>
              <c:showBubbleSize val="0"/>
            </c:dLbl>
            <c:dLbl>
              <c:idx val="22"/>
              <c:delete val="1"/>
            </c:dLbl>
            <c:dLbl>
              <c:idx val="25"/>
              <c:layout>
                <c:manualLayout>
                  <c:x val="-4.0845925925925924E-2"/>
                  <c:y val="4.454930555555553E-2"/>
                </c:manualLayout>
              </c:layout>
              <c:dLblPos val="r"/>
              <c:showLegendKey val="0"/>
              <c:showVal val="1"/>
              <c:showCatName val="0"/>
              <c:showSerName val="0"/>
              <c:showPercent val="0"/>
              <c:showBubbleSize val="0"/>
            </c:dLbl>
            <c:dLbl>
              <c:idx val="33"/>
              <c:delete val="1"/>
            </c:dLbl>
            <c:dLbl>
              <c:idx val="34"/>
              <c:layout>
                <c:manualLayout>
                  <c:x val="-1.8331551236132039E-2"/>
                  <c:y val="4.4030545259272906E-2"/>
                </c:manualLayout>
              </c:layout>
              <c:dLblPos val="r"/>
              <c:showLegendKey val="0"/>
              <c:showVal val="1"/>
              <c:showCatName val="0"/>
              <c:showSerName val="0"/>
              <c:showPercent val="0"/>
              <c:showBubbleSize val="0"/>
            </c:dLbl>
            <c:dLblPos val="ctr"/>
            <c:showLegendKey val="0"/>
            <c:showVal val="0"/>
            <c:showCatName val="0"/>
            <c:showSerName val="0"/>
            <c:showPercent val="0"/>
            <c:showBubbleSize val="0"/>
          </c:dLbls>
          <c:cat>
            <c:numRef>
              <c:f>城鎮化率!$A$4:$A$39</c:f>
              <c:numCache>
                <c:formatCode>General</c:formatCode>
                <c:ptCount val="3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numCache>
            </c:numRef>
          </c:cat>
          <c:val>
            <c:numRef>
              <c:f>城鎮化率!$G$4:$G$39</c:f>
              <c:numCache>
                <c:formatCode>0.0</c:formatCode>
                <c:ptCount val="36"/>
                <c:pt idx="0">
                  <c:v>15.821897173251331</c:v>
                </c:pt>
                <c:pt idx="1">
                  <c:v>16.593877509175528</c:v>
                </c:pt>
                <c:pt idx="2">
                  <c:v>17.021427485942962</c:v>
                </c:pt>
                <c:pt idx="3">
                  <c:v>17.824166600047967</c:v>
                </c:pt>
                <c:pt idx="4">
                  <c:v>18.055831854450339</c:v>
                </c:pt>
                <c:pt idx="5">
                  <c:v>18.34432737628897</c:v>
                </c:pt>
                <c:pt idx="6">
                  <c:v>19.434646049770468</c:v>
                </c:pt>
                <c:pt idx="7">
                  <c:v>20.290786104996638</c:v>
                </c:pt>
                <c:pt idx="8">
                  <c:v>19.524780950250239</c:v>
                </c:pt>
                <c:pt idx="9">
                  <c:v>19.892428112765831</c:v>
                </c:pt>
                <c:pt idx="10">
                  <c:v>20.456384276517976</c:v>
                </c:pt>
                <c:pt idx="11">
                  <c:v>20.887853452529328</c:v>
                </c:pt>
                <c:pt idx="12">
                  <c:v>20.864420389484938</c:v>
                </c:pt>
                <c:pt idx="13">
                  <c:v>21.103490141673436</c:v>
                </c:pt>
                <c:pt idx="14">
                  <c:v>21.674070454020494</c:v>
                </c:pt>
                <c:pt idx="15">
                  <c:v>22.419159767096694</c:v>
                </c:pt>
                <c:pt idx="16">
                  <c:v>23.278403384094119</c:v>
                </c:pt>
                <c:pt idx="17">
                  <c:v>23.840136518700579</c:v>
                </c:pt>
                <c:pt idx="18">
                  <c:v>24.374679360552193</c:v>
                </c:pt>
                <c:pt idx="19">
                  <c:v>24.788618066873276</c:v>
                </c:pt>
                <c:pt idx="20">
                  <c:v>25.074468248842443</c:v>
                </c:pt>
                <c:pt idx="21">
                  <c:v>25.505573691048376</c:v>
                </c:pt>
                <c:pt idx="22">
                  <c:v>26.07637736649713</c:v>
                </c:pt>
                <c:pt idx="23">
                  <c:v>26.683016902136938</c:v>
                </c:pt>
                <c:pt idx="24">
                  <c:v>27.894946762321084</c:v>
                </c:pt>
                <c:pt idx="25">
                  <c:v>29.695874140677393</c:v>
                </c:pt>
                <c:pt idx="26">
                  <c:v>30.809710952009628</c:v>
                </c:pt>
                <c:pt idx="27">
                  <c:v>31.993223990453181</c:v>
                </c:pt>
                <c:pt idx="28">
                  <c:v>32.533711592231427</c:v>
                </c:pt>
                <c:pt idx="29">
                  <c:v>32.925176713090273</c:v>
                </c:pt>
                <c:pt idx="30">
                  <c:v>33.278708152439314</c:v>
                </c:pt>
                <c:pt idx="31">
                  <c:v>33.774247603394947</c:v>
                </c:pt>
                <c:pt idx="32">
                  <c:v>34.165780937816812</c:v>
                </c:pt>
                <c:pt idx="33">
                  <c:v>34.690262993338393</c:v>
                </c:pt>
                <c:pt idx="34">
                  <c:v>35.329578050656544</c:v>
                </c:pt>
              </c:numCache>
            </c:numRef>
          </c:val>
          <c:smooth val="0"/>
        </c:ser>
        <c:dLbls>
          <c:showLegendKey val="0"/>
          <c:showVal val="0"/>
          <c:showCatName val="0"/>
          <c:showSerName val="0"/>
          <c:showPercent val="0"/>
          <c:showBubbleSize val="0"/>
        </c:dLbls>
        <c:marker val="1"/>
        <c:smooth val="0"/>
        <c:axId val="243676288"/>
        <c:axId val="243677824"/>
      </c:lineChart>
      <c:catAx>
        <c:axId val="243676288"/>
        <c:scaling>
          <c:orientation val="minMax"/>
        </c:scaling>
        <c:delete val="0"/>
        <c:axPos val="b"/>
        <c:numFmt formatCode="General" sourceLinked="1"/>
        <c:majorTickMark val="none"/>
        <c:minorTickMark val="none"/>
        <c:tickLblPos val="nextTo"/>
        <c:crossAx val="243677824"/>
        <c:crosses val="autoZero"/>
        <c:auto val="1"/>
        <c:lblAlgn val="ctr"/>
        <c:lblOffset val="100"/>
        <c:tickLblSkip val="1"/>
        <c:noMultiLvlLbl val="0"/>
      </c:catAx>
      <c:valAx>
        <c:axId val="243677824"/>
        <c:scaling>
          <c:orientation val="minMax"/>
        </c:scaling>
        <c:delete val="0"/>
        <c:axPos val="l"/>
        <c:majorGridlines/>
        <c:title>
          <c:tx>
            <c:rich>
              <a:bodyPr rot="0" vert="wordArtVertRtl"/>
              <a:lstStyle/>
              <a:p>
                <a:pPr>
                  <a:defRPr/>
                </a:pPr>
                <a:r>
                  <a:rPr lang="zh-TW" altLang="en-US"/>
                  <a:t>城鎮化率</a:t>
                </a:r>
                <a:r>
                  <a:rPr lang="en-US" altLang="zh-TW"/>
                  <a:t>(%)</a:t>
                </a:r>
                <a:endParaRPr lang="zh-TW" altLang="en-US"/>
              </a:p>
            </c:rich>
          </c:tx>
          <c:overlay val="0"/>
        </c:title>
        <c:numFmt formatCode="0.0" sourceLinked="1"/>
        <c:majorTickMark val="none"/>
        <c:minorTickMark val="none"/>
        <c:tickLblPos val="nextTo"/>
        <c:crossAx val="243676288"/>
        <c:crosses val="autoZero"/>
        <c:crossBetween val="between"/>
      </c:valAx>
    </c:plotArea>
    <c:legend>
      <c:legendPos val="b"/>
      <c:overlay val="0"/>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roundedCorners val="1"/>
  <c:style val="2"/>
  <c:clrMapOvr bg1="lt1" tx1="dk1" bg2="lt2" tx2="dk2" accent1="accent1" accent2="accent2" accent3="accent3" accent4="accent4" accent5="accent5" accent6="accent6" hlink="hlink" folHlink="folHlink"/>
  <c:chart>
    <c:autoTitleDeleted val="1"/>
    <c:plotArea>
      <c:layout/>
      <c:lineChart>
        <c:grouping val="standard"/>
        <c:varyColors val="1"/>
        <c:ser>
          <c:idx val="0"/>
          <c:order val="0"/>
          <c:tx>
            <c:strRef>
              <c:f>'年(總,三產,2000-2013)'!$J$1</c:f>
              <c:strCache>
                <c:ptCount val="1"/>
                <c:pt idx="0">
                  <c:v>第一產業</c:v>
                </c:pt>
              </c:strCache>
            </c:strRef>
          </c:tx>
          <c:dLbls>
            <c:showLegendKey val="1"/>
            <c:showVal val="1"/>
            <c:showCatName val="1"/>
            <c:showSerName val="1"/>
            <c:showPercent val="1"/>
            <c:showBubbleSize val="1"/>
            <c:showLeaderLines val="0"/>
          </c:dLbls>
          <c:cat>
            <c:numRef>
              <c:f>'年(總,三產,2000-2013)'!$A$3:$A$26</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'年(總,三產,2000-2013)'!$J$3:$J$26</c:f>
              <c:numCache>
                <c:formatCode>_-* #,##0.0_-;\-* #,##0.0_-;_-* "-"??_-;_-@_-</c:formatCode>
                <c:ptCount val="24"/>
                <c:pt idx="0">
                  <c:v>27.116181750199008</c:v>
                </c:pt>
                <c:pt idx="1">
                  <c:v>24.526318205816864</c:v>
                </c:pt>
                <c:pt idx="2">
                  <c:v>21.789902345462032</c:v>
                </c:pt>
                <c:pt idx="3">
                  <c:v>19.708427482713493</c:v>
                </c:pt>
                <c:pt idx="4">
                  <c:v>19.861238623714545</c:v>
                </c:pt>
                <c:pt idx="5">
                  <c:v>19.962272425133307</c:v>
                </c:pt>
                <c:pt idx="6">
                  <c:v>19.691010766320783</c:v>
                </c:pt>
                <c:pt idx="7">
                  <c:v>18.287114184790145</c:v>
                </c:pt>
                <c:pt idx="8">
                  <c:v>17.509435456404383</c:v>
                </c:pt>
                <c:pt idx="9">
                  <c:v>16.514558708225668</c:v>
                </c:pt>
                <c:pt idx="10">
                  <c:v>15.063012431140395</c:v>
                </c:pt>
                <c:pt idx="11">
                  <c:v>14.391751889126615</c:v>
                </c:pt>
                <c:pt idx="12">
                  <c:v>13.742732752006127</c:v>
                </c:pt>
                <c:pt idx="13">
                  <c:v>12.797339709486097</c:v>
                </c:pt>
                <c:pt idx="14">
                  <c:v>13.393124645433435</c:v>
                </c:pt>
                <c:pt idx="15">
                  <c:v>12.123047308002183</c:v>
                </c:pt>
                <c:pt idx="16">
                  <c:v>11.113453380819768</c:v>
                </c:pt>
                <c:pt idx="17">
                  <c:v>10.76971057931164</c:v>
                </c:pt>
                <c:pt idx="18">
                  <c:v>10.73156938455395</c:v>
                </c:pt>
                <c:pt idx="19">
                  <c:v>10.333150681073903</c:v>
                </c:pt>
                <c:pt idx="20">
                  <c:v>10.095219878419817</c:v>
                </c:pt>
                <c:pt idx="21">
                  <c:v>10.03715990171718</c:v>
                </c:pt>
                <c:pt idx="22">
                  <c:v>10.082199164533082</c:v>
                </c:pt>
                <c:pt idx="23">
                  <c:v>10.012745123891394</c:v>
                </c:pt>
              </c:numCache>
            </c:numRef>
          </c:val>
          <c:smooth val="1"/>
        </c:ser>
        <c:ser>
          <c:idx val="1"/>
          <c:order val="1"/>
          <c:tx>
            <c:strRef>
              <c:f>'年(總,三產,2000-2013)'!$K$1</c:f>
              <c:strCache>
                <c:ptCount val="1"/>
                <c:pt idx="0">
                  <c:v>第二產業</c:v>
                </c:pt>
              </c:strCache>
            </c:strRef>
          </c:tx>
          <c:dLbls>
            <c:showLegendKey val="1"/>
            <c:showVal val="1"/>
            <c:showCatName val="1"/>
            <c:showSerName val="1"/>
            <c:showPercent val="1"/>
            <c:showBubbleSize val="1"/>
            <c:showLeaderLines val="0"/>
          </c:dLbls>
          <c:cat>
            <c:numRef>
              <c:f>'年(總,三產,2000-2013)'!$A$3:$A$26</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'年(總,三產,2000-2013)'!$K$3:$K$26</c:f>
              <c:numCache>
                <c:formatCode>_-* #,##0.0_-;\-* #,##0.0_-;_-* "-"??_-;_-@_-</c:formatCode>
                <c:ptCount val="24"/>
                <c:pt idx="0">
                  <c:v>41.340660023505677</c:v>
                </c:pt>
                <c:pt idx="1">
                  <c:v>41.788673874618361</c:v>
                </c:pt>
                <c:pt idx="2">
                  <c:v>43.454635136319673</c:v>
                </c:pt>
                <c:pt idx="3">
                  <c:v>46.56836829879051</c:v>
                </c:pt>
                <c:pt idx="4">
                  <c:v>46.569297178193622</c:v>
                </c:pt>
                <c:pt idx="5">
                  <c:v>47.175029398590944</c:v>
                </c:pt>
                <c:pt idx="6">
                  <c:v>47.536640909602433</c:v>
                </c:pt>
                <c:pt idx="7">
                  <c:v>47.539008248891015</c:v>
                </c:pt>
                <c:pt idx="8">
                  <c:v>46.238318225104045</c:v>
                </c:pt>
                <c:pt idx="9">
                  <c:v>45.732783577311253</c:v>
                </c:pt>
                <c:pt idx="10">
                  <c:v>45.91655155418232</c:v>
                </c:pt>
                <c:pt idx="11">
                  <c:v>45.152727409022297</c:v>
                </c:pt>
                <c:pt idx="12">
                  <c:v>44.789823945596154</c:v>
                </c:pt>
                <c:pt idx="13">
                  <c:v>45.968952478951259</c:v>
                </c:pt>
                <c:pt idx="14">
                  <c:v>46.225347655060126</c:v>
                </c:pt>
                <c:pt idx="15">
                  <c:v>47.366400449882924</c:v>
                </c:pt>
                <c:pt idx="16">
                  <c:v>47.948495338266902</c:v>
                </c:pt>
                <c:pt idx="17">
                  <c:v>47.338797631243018</c:v>
                </c:pt>
                <c:pt idx="18">
                  <c:v>47.446452009804943</c:v>
                </c:pt>
                <c:pt idx="19">
                  <c:v>46.241567977734398</c:v>
                </c:pt>
                <c:pt idx="20">
                  <c:v>46.669296719805708</c:v>
                </c:pt>
                <c:pt idx="21">
                  <c:v>46.588654229444877</c:v>
                </c:pt>
                <c:pt idx="22">
                  <c:v>45.26960170943461</c:v>
                </c:pt>
                <c:pt idx="23">
                  <c:v>43.893151913087053</c:v>
                </c:pt>
              </c:numCache>
            </c:numRef>
          </c:val>
          <c:smooth val="1"/>
        </c:ser>
        <c:ser>
          <c:idx val="2"/>
          <c:order val="2"/>
          <c:tx>
            <c:strRef>
              <c:f>'年(總,三產,2000-2013)'!$L$1</c:f>
              <c:strCache>
                <c:ptCount val="1"/>
                <c:pt idx="0">
                  <c:v>第三產業</c:v>
                </c:pt>
              </c:strCache>
            </c:strRef>
          </c:tx>
          <c:dLbls>
            <c:showLegendKey val="1"/>
            <c:showVal val="1"/>
            <c:showCatName val="1"/>
            <c:showSerName val="1"/>
            <c:showPercent val="1"/>
            <c:showBubbleSize val="1"/>
            <c:showLeaderLines val="0"/>
          </c:dLbls>
          <c:cat>
            <c:numRef>
              <c:f>'年(總,三產,2000-2013)'!$A$3:$A$26</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'年(總,三產,2000-2013)'!$L$3:$L$26</c:f>
              <c:numCache>
                <c:formatCode>_-* #,##0.0_-;\-* #,##0.0_-;_-* "-"??_-;_-@_-</c:formatCode>
                <c:ptCount val="24"/>
                <c:pt idx="0">
                  <c:v>31.543158226295304</c:v>
                </c:pt>
                <c:pt idx="1">
                  <c:v>33.685007919564768</c:v>
                </c:pt>
                <c:pt idx="2">
                  <c:v>34.755462518218295</c:v>
                </c:pt>
                <c:pt idx="3">
                  <c:v>33.723204218496008</c:v>
                </c:pt>
                <c:pt idx="4">
                  <c:v>33.569464198091822</c:v>
                </c:pt>
                <c:pt idx="5">
                  <c:v>32.86269817627575</c:v>
                </c:pt>
                <c:pt idx="6">
                  <c:v>32.772348324076795</c:v>
                </c:pt>
                <c:pt idx="7">
                  <c:v>34.173877566318829</c:v>
                </c:pt>
                <c:pt idx="8">
                  <c:v>36.252246318491601</c:v>
                </c:pt>
                <c:pt idx="9">
                  <c:v>37.752657714463091</c:v>
                </c:pt>
                <c:pt idx="10">
                  <c:v>39.020486410511353</c:v>
                </c:pt>
                <c:pt idx="11">
                  <c:v>40.455548060342238</c:v>
                </c:pt>
                <c:pt idx="12">
                  <c:v>41.467451612691441</c:v>
                </c:pt>
                <c:pt idx="13">
                  <c:v>41.233663636344893</c:v>
                </c:pt>
                <c:pt idx="14">
                  <c:v>40.381527699506428</c:v>
                </c:pt>
                <c:pt idx="15">
                  <c:v>40.51055224211489</c:v>
                </c:pt>
                <c:pt idx="16">
                  <c:v>40.938051280913335</c:v>
                </c:pt>
                <c:pt idx="17">
                  <c:v>41.891491789445318</c:v>
                </c:pt>
                <c:pt idx="18">
                  <c:v>41.821978605641085</c:v>
                </c:pt>
                <c:pt idx="19">
                  <c:v>43.425281341191685</c:v>
                </c:pt>
                <c:pt idx="20">
                  <c:v>43.235483401774481</c:v>
                </c:pt>
                <c:pt idx="21">
                  <c:v>43.374183755137999</c:v>
                </c:pt>
                <c:pt idx="22">
                  <c:v>44.648199126032303</c:v>
                </c:pt>
                <c:pt idx="23">
                  <c:v>46.094102963021562</c:v>
                </c:pt>
              </c:numCache>
            </c:numRef>
          </c:val>
          <c:smooth val="1"/>
        </c:ser>
        <c:dLbls>
          <c:showLegendKey val="0"/>
          <c:showVal val="0"/>
          <c:showCatName val="0"/>
          <c:showSerName val="0"/>
          <c:showPercent val="0"/>
          <c:showBubbleSize val="0"/>
        </c:dLbls>
        <c:marker val="1"/>
        <c:smooth val="0"/>
        <c:axId val="245014528"/>
        <c:axId val="245016064"/>
      </c:lineChart>
      <c:catAx>
        <c:axId val="245014528"/>
        <c:scaling>
          <c:orientation val="minMax"/>
        </c:scaling>
        <c:delete val="1"/>
        <c:axPos val="b"/>
        <c:numFmt formatCode="General" sourceLinked="1"/>
        <c:majorTickMark val="cross"/>
        <c:minorTickMark val="cross"/>
        <c:tickLblPos val="nextTo"/>
        <c:crossAx val="245016064"/>
        <c:crosses val="autoZero"/>
        <c:auto val="1"/>
        <c:lblAlgn val="ctr"/>
        <c:lblOffset val="100"/>
        <c:noMultiLvlLbl val="1"/>
      </c:catAx>
      <c:valAx>
        <c:axId val="245016064"/>
        <c:scaling>
          <c:orientation val="minMax"/>
        </c:scaling>
        <c:delete val="1"/>
        <c:axPos val="l"/>
        <c:majorGridlines/>
        <c:title>
          <c:tx>
            <c:rich>
              <a:bodyPr rot="0" vert="wordArtVertRtl"/>
              <a:lstStyle/>
              <a:p>
                <a:pPr>
                  <a:defRPr/>
                </a:pPr>
                <a:r>
                  <a:rPr lang="zh-TW" altLang="en-US"/>
                  <a:t>比重</a:t>
                </a:r>
                <a:r>
                  <a:rPr lang="en-US" altLang="zh-TW"/>
                  <a:t>(%)</a:t>
                </a:r>
                <a:endParaRPr lang="zh-TW" altLang="en-US"/>
              </a:p>
            </c:rich>
          </c:tx>
          <c:overlay val="1"/>
        </c:title>
        <c:numFmt formatCode="#,##0_);[Red]\(#,##0\)" sourceLinked="0"/>
        <c:majorTickMark val="cross"/>
        <c:minorTickMark val="cross"/>
        <c:tickLblPos val="nextTo"/>
        <c:crossAx val="245014528"/>
        <c:crosses val="autoZero"/>
        <c:crossBetween val="between"/>
      </c:valAx>
    </c:plotArea>
    <c:legend>
      <c:legendPos val="b"/>
      <c:overlay val="1"/>
    </c:legend>
    <c:plotVisOnly val="1"/>
    <c:dispBlanksAs val="gap"/>
    <c:showDLblsOverMax val="1"/>
  </c:chart>
  <c:spPr>
    <a:ln>
      <a:noFill/>
    </a:ln>
  </c:spPr>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勞動生產力!$B$3</c:f>
              <c:strCache>
                <c:ptCount val="1"/>
                <c:pt idx="0">
                  <c:v>中國大陸</c:v>
                </c:pt>
              </c:strCache>
            </c:strRef>
          </c:tx>
          <c:cat>
            <c:numRef>
              <c:f>勞動生產力!$A$4:$A$26</c:f>
              <c:numCache>
                <c:formatCode>General</c:formatCode>
                <c:ptCount val="2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numCache>
            </c:numRef>
          </c:cat>
          <c:val>
            <c:numRef>
              <c:f>勞動生產力!$B$4:$B$26</c:f>
              <c:numCache>
                <c:formatCode>#,##0</c:formatCode>
                <c:ptCount val="23"/>
                <c:pt idx="0">
                  <c:v>3210.8733169499251</c:v>
                </c:pt>
                <c:pt idx="1">
                  <c:v>3485.544127846616</c:v>
                </c:pt>
                <c:pt idx="2">
                  <c:v>3785.0483322447358</c:v>
                </c:pt>
                <c:pt idx="3">
                  <c:v>4123.5337376593106</c:v>
                </c:pt>
                <c:pt idx="4">
                  <c:v>4702.8033352947295</c:v>
                </c:pt>
                <c:pt idx="5">
                  <c:v>4747.2906712142321</c:v>
                </c:pt>
                <c:pt idx="6">
                  <c:v>4934.1939634154651</c:v>
                </c:pt>
                <c:pt idx="7">
                  <c:v>4889.0083063978009</c:v>
                </c:pt>
                <c:pt idx="8">
                  <c:v>5152.2929002704504</c:v>
                </c:pt>
                <c:pt idx="9">
                  <c:v>5561.0838502016186</c:v>
                </c:pt>
                <c:pt idx="10">
                  <c:v>6086.0220225144803</c:v>
                </c:pt>
                <c:pt idx="11">
                  <c:v>6796.1173506423966</c:v>
                </c:pt>
                <c:pt idx="12">
                  <c:v>7777.0740813349375</c:v>
                </c:pt>
                <c:pt idx="13">
                  <c:v>8500.5257361903423</c:v>
                </c:pt>
                <c:pt idx="14">
                  <c:v>9413.3905768613513</c:v>
                </c:pt>
                <c:pt idx="15">
                  <c:v>10559.857261824511</c:v>
                </c:pt>
                <c:pt idx="16">
                  <c:v>12000.488330916811</c:v>
                </c:pt>
                <c:pt idx="17">
                  <c:v>13114.385494656441</c:v>
                </c:pt>
                <c:pt idx="18">
                  <c:v>14272.90461896888</c:v>
                </c:pt>
                <c:pt idx="19">
                  <c:v>15706.61735573568</c:v>
                </c:pt>
                <c:pt idx="20">
                  <c:v>17096.55232382923</c:v>
                </c:pt>
                <c:pt idx="21">
                  <c:v>18345.769229824549</c:v>
                </c:pt>
                <c:pt idx="22">
                  <c:v>19654.101771314941</c:v>
                </c:pt>
              </c:numCache>
            </c:numRef>
          </c:val>
          <c:smooth val="0"/>
        </c:ser>
        <c:ser>
          <c:idx val="1"/>
          <c:order val="1"/>
          <c:tx>
            <c:strRef>
              <c:f>勞動生產力!$C$3</c:f>
              <c:strCache>
                <c:ptCount val="1"/>
                <c:pt idx="0">
                  <c:v>臺灣</c:v>
                </c:pt>
              </c:strCache>
            </c:strRef>
          </c:tx>
          <c:cat>
            <c:numRef>
              <c:f>勞動生產力!$A$4:$A$26</c:f>
              <c:numCache>
                <c:formatCode>General</c:formatCode>
                <c:ptCount val="2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numCache>
            </c:numRef>
          </c:cat>
          <c:val>
            <c:numRef>
              <c:f>勞動生產力!$C$4:$C$26</c:f>
              <c:numCache>
                <c:formatCode>#,##0</c:formatCode>
                <c:ptCount val="23"/>
                <c:pt idx="0">
                  <c:v>39877.684811955682</c:v>
                </c:pt>
                <c:pt idx="1">
                  <c:v>41890.816476400461</c:v>
                </c:pt>
                <c:pt idx="2">
                  <c:v>44184.630340843527</c:v>
                </c:pt>
                <c:pt idx="3">
                  <c:v>46523.128998182357</c:v>
                </c:pt>
                <c:pt idx="4">
                  <c:v>49037.747376095627</c:v>
                </c:pt>
                <c:pt idx="5">
                  <c:v>52271.380389794278</c:v>
                </c:pt>
                <c:pt idx="6">
                  <c:v>54458.349590813421</c:v>
                </c:pt>
                <c:pt idx="7">
                  <c:v>56136.794012029277</c:v>
                </c:pt>
                <c:pt idx="8">
                  <c:v>59281.34665097433</c:v>
                </c:pt>
                <c:pt idx="9">
                  <c:v>61808.763156647583</c:v>
                </c:pt>
                <c:pt idx="10">
                  <c:v>62175.095687481473</c:v>
                </c:pt>
                <c:pt idx="11">
                  <c:v>64955.946467499001</c:v>
                </c:pt>
                <c:pt idx="12">
                  <c:v>66495.520230101829</c:v>
                </c:pt>
                <c:pt idx="13">
                  <c:v>69096.257499775151</c:v>
                </c:pt>
                <c:pt idx="14">
                  <c:v>71188.96989070854</c:v>
                </c:pt>
                <c:pt idx="15">
                  <c:v>73798.098634287759</c:v>
                </c:pt>
                <c:pt idx="16">
                  <c:v>76850.918934684116</c:v>
                </c:pt>
                <c:pt idx="17">
                  <c:v>76578.618320619862</c:v>
                </c:pt>
                <c:pt idx="18">
                  <c:v>76106.895179889674</c:v>
                </c:pt>
                <c:pt idx="19">
                  <c:v>82588.743003366166</c:v>
                </c:pt>
                <c:pt idx="20">
                  <c:v>84236.152629396602</c:v>
                </c:pt>
                <c:pt idx="21">
                  <c:v>84109.404679861545</c:v>
                </c:pt>
                <c:pt idx="22">
                  <c:v>85564.491577837238</c:v>
                </c:pt>
              </c:numCache>
            </c:numRef>
          </c:val>
          <c:smooth val="0"/>
        </c:ser>
        <c:dLbls>
          <c:showLegendKey val="0"/>
          <c:showVal val="0"/>
          <c:showCatName val="0"/>
          <c:showSerName val="0"/>
          <c:showPercent val="0"/>
          <c:showBubbleSize val="0"/>
        </c:dLbls>
        <c:marker val="1"/>
        <c:smooth val="0"/>
        <c:axId val="245147136"/>
        <c:axId val="245149056"/>
      </c:lineChart>
      <c:catAx>
        <c:axId val="245147136"/>
        <c:scaling>
          <c:orientation val="minMax"/>
        </c:scaling>
        <c:delete val="0"/>
        <c:axPos val="b"/>
        <c:title>
          <c:tx>
            <c:rich>
              <a:bodyPr/>
              <a:lstStyle/>
              <a:p>
                <a:pPr>
                  <a:defRPr/>
                </a:pPr>
                <a:r>
                  <a:rPr lang="zh-TW"/>
                  <a:t>年</a:t>
                </a:r>
              </a:p>
            </c:rich>
          </c:tx>
          <c:overlay val="0"/>
        </c:title>
        <c:numFmt formatCode="General" sourceLinked="1"/>
        <c:majorTickMark val="out"/>
        <c:minorTickMark val="none"/>
        <c:tickLblPos val="nextTo"/>
        <c:crossAx val="245149056"/>
        <c:crosses val="autoZero"/>
        <c:auto val="1"/>
        <c:lblAlgn val="ctr"/>
        <c:lblOffset val="100"/>
        <c:noMultiLvlLbl val="0"/>
      </c:catAx>
      <c:valAx>
        <c:axId val="245149056"/>
        <c:scaling>
          <c:orientation val="minMax"/>
        </c:scaling>
        <c:delete val="0"/>
        <c:axPos val="l"/>
        <c:majorGridlines/>
        <c:title>
          <c:tx>
            <c:rich>
              <a:bodyPr rot="0" vert="wordArtVertRtl"/>
              <a:lstStyle/>
              <a:p>
                <a:pPr>
                  <a:defRPr/>
                </a:pPr>
                <a:r>
                  <a:rPr lang="zh-TW"/>
                  <a:t>勞動生產力</a:t>
                </a:r>
                <a:r>
                  <a:rPr lang="en-US"/>
                  <a:t>(</a:t>
                </a:r>
                <a:r>
                  <a:rPr lang="zh-TW"/>
                  <a:t>美元</a:t>
                </a:r>
                <a:r>
                  <a:rPr lang="en-US"/>
                  <a:t>)</a:t>
                </a:r>
                <a:endParaRPr lang="zh-TW"/>
              </a:p>
            </c:rich>
          </c:tx>
          <c:overlay val="0"/>
        </c:title>
        <c:numFmt formatCode="#,##0" sourceLinked="1"/>
        <c:majorTickMark val="out"/>
        <c:minorTickMark val="none"/>
        <c:tickLblPos val="nextTo"/>
        <c:crossAx val="24514713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LP成長!$M$3</c:f>
              <c:strCache>
                <c:ptCount val="1"/>
                <c:pt idx="0">
                  <c:v>中國大陸</c:v>
                </c:pt>
              </c:strCache>
            </c:strRef>
          </c:tx>
          <c:cat>
            <c:numRef>
              <c:f>LP成長!$L$5:$L$45</c:f>
              <c:numCache>
                <c:formatCode>General</c:formatCode>
                <c:ptCount val="41"/>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numCache>
            </c:numRef>
          </c:cat>
          <c:val>
            <c:numRef>
              <c:f>LP成長!$M$5:$M$45</c:f>
              <c:numCache>
                <c:formatCode>#,##0.00</c:formatCode>
                <c:ptCount val="41"/>
                <c:pt idx="0">
                  <c:v>3.3933</c:v>
                </c:pt>
                <c:pt idx="1">
                  <c:v>3.0943000000000001</c:v>
                </c:pt>
                <c:pt idx="2">
                  <c:v>5.4217000000000004</c:v>
                </c:pt>
                <c:pt idx="3">
                  <c:v>0.3412</c:v>
                </c:pt>
                <c:pt idx="4">
                  <c:v>6.2312000000000003</c:v>
                </c:pt>
                <c:pt idx="5">
                  <c:v>-3.3382000000000001</c:v>
                </c:pt>
                <c:pt idx="6">
                  <c:v>5.9410999999999996</c:v>
                </c:pt>
                <c:pt idx="7">
                  <c:v>9.093300000000001</c:v>
                </c:pt>
                <c:pt idx="8">
                  <c:v>5.1558999999999946</c:v>
                </c:pt>
                <c:pt idx="9">
                  <c:v>4.3467000000000002</c:v>
                </c:pt>
                <c:pt idx="10">
                  <c:v>1.9457</c:v>
                </c:pt>
                <c:pt idx="11">
                  <c:v>5.1468999999999996</c:v>
                </c:pt>
                <c:pt idx="12">
                  <c:v>7.8201999999999918</c:v>
                </c:pt>
                <c:pt idx="13">
                  <c:v>10.4116</c:v>
                </c:pt>
                <c:pt idx="14">
                  <c:v>9.2198000000000011</c:v>
                </c:pt>
                <c:pt idx="15">
                  <c:v>5.6952999999999987</c:v>
                </c:pt>
                <c:pt idx="16">
                  <c:v>8.0798000000000005</c:v>
                </c:pt>
                <c:pt idx="17">
                  <c:v>7.7969999999999997</c:v>
                </c:pt>
                <c:pt idx="18">
                  <c:v>2.172699999999999</c:v>
                </c:pt>
                <c:pt idx="19">
                  <c:v>-11.9503</c:v>
                </c:pt>
                <c:pt idx="20">
                  <c:v>7.6469999999999967</c:v>
                </c:pt>
                <c:pt idx="21">
                  <c:v>12.3141</c:v>
                </c:pt>
                <c:pt idx="22">
                  <c:v>12.0847</c:v>
                </c:pt>
                <c:pt idx="23">
                  <c:v>11.3294</c:v>
                </c:pt>
                <c:pt idx="24">
                  <c:v>9.4682000000000013</c:v>
                </c:pt>
                <c:pt idx="25">
                  <c:v>8.2468999999999983</c:v>
                </c:pt>
                <c:pt idx="26">
                  <c:v>7.6360000000000001</c:v>
                </c:pt>
                <c:pt idx="27">
                  <c:v>6.3783000000000003</c:v>
                </c:pt>
                <c:pt idx="28">
                  <c:v>6.2774999999999999</c:v>
                </c:pt>
                <c:pt idx="29">
                  <c:v>7.1314000000000002</c:v>
                </c:pt>
                <c:pt idx="30">
                  <c:v>6.9908999999999999</c:v>
                </c:pt>
                <c:pt idx="31">
                  <c:v>8.0317000000000007</c:v>
                </c:pt>
                <c:pt idx="32">
                  <c:v>8.9337</c:v>
                </c:pt>
                <c:pt idx="33">
                  <c:v>8.8948</c:v>
                </c:pt>
                <c:pt idx="34">
                  <c:v>10.2005</c:v>
                </c:pt>
                <c:pt idx="35">
                  <c:v>11.492699999999999</c:v>
                </c:pt>
                <c:pt idx="36">
                  <c:v>12.7888</c:v>
                </c:pt>
                <c:pt idx="37">
                  <c:v>8.8762000000000008</c:v>
                </c:pt>
                <c:pt idx="38">
                  <c:v>8.4653000000000027</c:v>
                </c:pt>
                <c:pt idx="39">
                  <c:v>9.5719000000000012</c:v>
                </c:pt>
                <c:pt idx="40">
                  <c:v>8.4746000000000006</c:v>
                </c:pt>
              </c:numCache>
            </c:numRef>
          </c:val>
          <c:smooth val="0"/>
        </c:ser>
        <c:ser>
          <c:idx val="1"/>
          <c:order val="1"/>
          <c:tx>
            <c:strRef>
              <c:f>LP成長!$N$3</c:f>
              <c:strCache>
                <c:ptCount val="1"/>
                <c:pt idx="0">
                  <c:v>臺灣</c:v>
                </c:pt>
              </c:strCache>
            </c:strRef>
          </c:tx>
          <c:cat>
            <c:numRef>
              <c:f>LP成長!$L$5:$L$45</c:f>
              <c:numCache>
                <c:formatCode>General</c:formatCode>
                <c:ptCount val="41"/>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numCache>
            </c:numRef>
          </c:cat>
          <c:val>
            <c:numRef>
              <c:f>LP成長!$N$5:$N$45</c:f>
              <c:numCache>
                <c:formatCode>#,##0.00</c:formatCode>
                <c:ptCount val="41"/>
                <c:pt idx="0">
                  <c:v>8.4408000000000012</c:v>
                </c:pt>
                <c:pt idx="1">
                  <c:v>8.2431999999999981</c:v>
                </c:pt>
                <c:pt idx="2">
                  <c:v>3.8955000000000002</c:v>
                </c:pt>
                <c:pt idx="3">
                  <c:v>-1.1351</c:v>
                </c:pt>
                <c:pt idx="4">
                  <c:v>4.8024999999999984</c:v>
                </c:pt>
                <c:pt idx="5">
                  <c:v>10.154400000000001</c:v>
                </c:pt>
                <c:pt idx="6">
                  <c:v>5.2124999999999986</c:v>
                </c:pt>
                <c:pt idx="7">
                  <c:v>8.3467000000000002</c:v>
                </c:pt>
                <c:pt idx="8">
                  <c:v>4.0095999999999998</c:v>
                </c:pt>
                <c:pt idx="9">
                  <c:v>5.6730999999999998</c:v>
                </c:pt>
                <c:pt idx="10">
                  <c:v>5.0175999999999954</c:v>
                </c:pt>
                <c:pt idx="11">
                  <c:v>3.0274999999999999</c:v>
                </c:pt>
                <c:pt idx="12">
                  <c:v>4.9862000000000002</c:v>
                </c:pt>
                <c:pt idx="13">
                  <c:v>5.8990999999999998</c:v>
                </c:pt>
                <c:pt idx="14">
                  <c:v>2.601</c:v>
                </c:pt>
                <c:pt idx="15">
                  <c:v>6.2873999999999999</c:v>
                </c:pt>
                <c:pt idx="16">
                  <c:v>6.0815999999999999</c:v>
                </c:pt>
                <c:pt idx="17">
                  <c:v>4.9207000000000001</c:v>
                </c:pt>
                <c:pt idx="18">
                  <c:v>8.7142999999999962</c:v>
                </c:pt>
                <c:pt idx="19">
                  <c:v>6.6917999999999997</c:v>
                </c:pt>
                <c:pt idx="20">
                  <c:v>5.9916</c:v>
                </c:pt>
                <c:pt idx="21">
                  <c:v>4.9570999999999996</c:v>
                </c:pt>
                <c:pt idx="22">
                  <c:v>5.3223999999999956</c:v>
                </c:pt>
                <c:pt idx="23">
                  <c:v>5.9401999999999999</c:v>
                </c:pt>
                <c:pt idx="24">
                  <c:v>4.8686999999999996</c:v>
                </c:pt>
                <c:pt idx="25">
                  <c:v>5.9856999999999996</c:v>
                </c:pt>
                <c:pt idx="26">
                  <c:v>5.3867000000000003</c:v>
                </c:pt>
                <c:pt idx="27">
                  <c:v>1.5694999999999999</c:v>
                </c:pt>
                <c:pt idx="28">
                  <c:v>4.3895999999999997</c:v>
                </c:pt>
                <c:pt idx="29">
                  <c:v>5.4065000000000003</c:v>
                </c:pt>
                <c:pt idx="30">
                  <c:v>1.1659999999999999</c:v>
                </c:pt>
                <c:pt idx="31">
                  <c:v>5.2572000000000001</c:v>
                </c:pt>
                <c:pt idx="32">
                  <c:v>2.2115999999999998</c:v>
                </c:pt>
                <c:pt idx="33">
                  <c:v>3.4580000000000002</c:v>
                </c:pt>
                <c:pt idx="34">
                  <c:v>3.0192000000000001</c:v>
                </c:pt>
                <c:pt idx="35">
                  <c:v>3.6606999999999998</c:v>
                </c:pt>
                <c:pt idx="36">
                  <c:v>4.7523999999999997</c:v>
                </c:pt>
                <c:pt idx="37">
                  <c:v>1.4021999999999999</c:v>
                </c:pt>
                <c:pt idx="38">
                  <c:v>0.49059999999999998</c:v>
                </c:pt>
                <c:pt idx="39">
                  <c:v>8.3583999999999996</c:v>
                </c:pt>
                <c:pt idx="40">
                  <c:v>2.0739999999999998</c:v>
                </c:pt>
              </c:numCache>
            </c:numRef>
          </c:val>
          <c:smooth val="0"/>
        </c:ser>
        <c:dLbls>
          <c:showLegendKey val="0"/>
          <c:showVal val="0"/>
          <c:showCatName val="0"/>
          <c:showSerName val="0"/>
          <c:showPercent val="0"/>
          <c:showBubbleSize val="0"/>
        </c:dLbls>
        <c:marker val="1"/>
        <c:smooth val="0"/>
        <c:axId val="243810688"/>
        <c:axId val="243812608"/>
      </c:lineChart>
      <c:catAx>
        <c:axId val="243810688"/>
        <c:scaling>
          <c:orientation val="minMax"/>
        </c:scaling>
        <c:delete val="0"/>
        <c:axPos val="b"/>
        <c:title>
          <c:tx>
            <c:rich>
              <a:bodyPr/>
              <a:lstStyle/>
              <a:p>
                <a:pPr>
                  <a:defRPr/>
                </a:pPr>
                <a:r>
                  <a:rPr lang="zh-TW"/>
                  <a:t>年</a:t>
                </a:r>
                <a:endParaRPr lang="en-US"/>
              </a:p>
            </c:rich>
          </c:tx>
          <c:overlay val="0"/>
        </c:title>
        <c:numFmt formatCode="General" sourceLinked="1"/>
        <c:majorTickMark val="out"/>
        <c:minorTickMark val="none"/>
        <c:tickLblPos val="nextTo"/>
        <c:crossAx val="243812608"/>
        <c:crosses val="autoZero"/>
        <c:auto val="1"/>
        <c:lblAlgn val="ctr"/>
        <c:lblOffset val="100"/>
        <c:noMultiLvlLbl val="0"/>
      </c:catAx>
      <c:valAx>
        <c:axId val="243812608"/>
        <c:scaling>
          <c:orientation val="minMax"/>
        </c:scaling>
        <c:delete val="0"/>
        <c:axPos val="l"/>
        <c:majorGridlines/>
        <c:title>
          <c:tx>
            <c:rich>
              <a:bodyPr rot="0" vert="wordArtVertRtl"/>
              <a:lstStyle/>
              <a:p>
                <a:pPr>
                  <a:defRPr/>
                </a:pPr>
                <a:r>
                  <a:rPr lang="zh-TW"/>
                  <a:t>成長率</a:t>
                </a:r>
                <a:r>
                  <a:rPr lang="en-US"/>
                  <a:t>(%)</a:t>
                </a:r>
                <a:endParaRPr lang="zh-TW"/>
              </a:p>
            </c:rich>
          </c:tx>
          <c:overlay val="0"/>
        </c:title>
        <c:numFmt formatCode="#,##0.00" sourceLinked="1"/>
        <c:majorTickMark val="out"/>
        <c:minorTickMark val="none"/>
        <c:tickLblPos val="nextTo"/>
        <c:crossAx val="24381068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0.93942</cdr:x>
      <cdr:y>0.15728</cdr:y>
    </cdr:from>
    <cdr:to>
      <cdr:x>0.94143</cdr:x>
      <cdr:y>0.30246</cdr:y>
    </cdr:to>
    <cdr:cxnSp macro="">
      <cdr:nvCxnSpPr>
        <cdr:cNvPr id="3" name="直線單箭頭接點 2"/>
        <cdr:cNvCxnSpPr/>
      </cdr:nvCxnSpPr>
      <cdr:spPr>
        <a:xfrm xmlns:a="http://schemas.openxmlformats.org/drawingml/2006/main">
          <a:off x="4954772" y="414670"/>
          <a:ext cx="10633" cy="382772"/>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0.85791</cdr:x>
      <cdr:y>0.17884</cdr:y>
    </cdr:from>
    <cdr:to>
      <cdr:x>0.95151</cdr:x>
      <cdr:y>0.30921</cdr:y>
    </cdr:to>
    <cdr:sp macro="" textlink="">
      <cdr:nvSpPr>
        <cdr:cNvPr id="9" name="矩形 8"/>
        <cdr:cNvSpPr/>
      </cdr:nvSpPr>
      <cdr:spPr>
        <a:xfrm xmlns:a="http://schemas.openxmlformats.org/drawingml/2006/main">
          <a:off x="4524895" y="471507"/>
          <a:ext cx="493675" cy="3437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100" b="1">
              <a:solidFill>
                <a:schemeClr val="tx1"/>
              </a:solidFill>
              <a:latin typeface="標楷體" panose="03000509000000000000" pitchFamily="65" charset="-120"/>
              <a:ea typeface="標楷體" panose="03000509000000000000" pitchFamily="65" charset="-120"/>
            </a:rPr>
            <a:t>差距</a:t>
          </a:r>
          <a:r>
            <a:rPr lang="en-US" altLang="zh-TW" sz="1100" b="1">
              <a:solidFill>
                <a:schemeClr val="tx1"/>
              </a:solidFill>
            </a:rPr>
            <a:t>17.3</a:t>
          </a:r>
          <a:endParaRPr lang="zh-TW" altLang="en-US" sz="1100" b="1">
            <a:solidFill>
              <a:schemeClr val="tx1"/>
            </a:solidFill>
          </a:endParaRPr>
        </a:p>
      </cdr:txBody>
    </cdr:sp>
  </cdr:relSizeAnchor>
  <cdr:relSizeAnchor xmlns:cdr="http://schemas.openxmlformats.org/drawingml/2006/chartDrawing">
    <cdr:from>
      <cdr:x>0.72925</cdr:x>
      <cdr:y>0.46441</cdr:y>
    </cdr:from>
    <cdr:to>
      <cdr:x>0.72925</cdr:x>
      <cdr:y>0.75191</cdr:y>
    </cdr:to>
    <cdr:cxnSp macro="">
      <cdr:nvCxnSpPr>
        <cdr:cNvPr id="12" name="直線接點 11"/>
        <cdr:cNvCxnSpPr/>
      </cdr:nvCxnSpPr>
      <cdr:spPr>
        <a:xfrm xmlns:a="http://schemas.openxmlformats.org/drawingml/2006/main">
          <a:off x="3937968" y="1337508"/>
          <a:ext cx="0" cy="828000"/>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0.42491</cdr:x>
      <cdr:y>0.56773</cdr:y>
    </cdr:from>
    <cdr:to>
      <cdr:x>0.42491</cdr:x>
      <cdr:y>0.75523</cdr:y>
    </cdr:to>
    <cdr:cxnSp macro="">
      <cdr:nvCxnSpPr>
        <cdr:cNvPr id="14" name="直線接點 13"/>
        <cdr:cNvCxnSpPr/>
      </cdr:nvCxnSpPr>
      <cdr:spPr>
        <a:xfrm xmlns:a="http://schemas.openxmlformats.org/drawingml/2006/main">
          <a:off x="2294514" y="1635062"/>
          <a:ext cx="0" cy="540000"/>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0.14652</cdr:x>
      <cdr:y>0.63507</cdr:y>
    </cdr:from>
    <cdr:to>
      <cdr:x>0.14652</cdr:x>
      <cdr:y>0.74757</cdr:y>
    </cdr:to>
    <cdr:cxnSp macro="">
      <cdr:nvCxnSpPr>
        <cdr:cNvPr id="16" name="直線接點 15"/>
        <cdr:cNvCxnSpPr/>
      </cdr:nvCxnSpPr>
      <cdr:spPr>
        <a:xfrm xmlns:a="http://schemas.openxmlformats.org/drawingml/2006/main">
          <a:off x="791187" y="1829011"/>
          <a:ext cx="0" cy="324000"/>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0.94048</cdr:x>
      <cdr:y>0.40352</cdr:y>
    </cdr:from>
    <cdr:to>
      <cdr:x>0.94048</cdr:x>
      <cdr:y>0.74102</cdr:y>
    </cdr:to>
    <cdr:cxnSp macro="">
      <cdr:nvCxnSpPr>
        <cdr:cNvPr id="17" name="直線接點 16"/>
        <cdr:cNvCxnSpPr/>
      </cdr:nvCxnSpPr>
      <cdr:spPr>
        <a:xfrm xmlns:a="http://schemas.openxmlformats.org/drawingml/2006/main">
          <a:off x="5078580" y="1162135"/>
          <a:ext cx="0" cy="972000"/>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4DAF3-6534-4363-89BE-BF3564A49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19511</Words>
  <Characters>111216</Characters>
  <Application>Microsoft Office Word</Application>
  <DocSecurity>0</DocSecurity>
  <Lines>926</Lines>
  <Paragraphs>260</Paragraphs>
  <ScaleCrop>false</ScaleCrop>
  <Company>CIER</Company>
  <LinksUpToDate>false</LinksUpToDate>
  <CharactersWithSpaces>130467</CharactersWithSpaces>
  <SharedDoc>false</SharedDoc>
  <HLinks>
    <vt:vector size="426" baseType="variant">
      <vt:variant>
        <vt:i4>5111820</vt:i4>
      </vt:variant>
      <vt:variant>
        <vt:i4>447</vt:i4>
      </vt:variant>
      <vt:variant>
        <vt:i4>0</vt:i4>
      </vt:variant>
      <vt:variant>
        <vt:i4>5</vt:i4>
      </vt:variant>
      <vt:variant>
        <vt:lpwstr>http://news.qq.com/zt2013/sbdylxjpjh/</vt:lpwstr>
      </vt:variant>
      <vt:variant>
        <vt:lpwstr/>
      </vt:variant>
      <vt:variant>
        <vt:i4>66</vt:i4>
      </vt:variant>
      <vt:variant>
        <vt:i4>429</vt:i4>
      </vt:variant>
      <vt:variant>
        <vt:i4>0</vt:i4>
      </vt:variant>
      <vt:variant>
        <vt:i4>5</vt:i4>
      </vt:variant>
      <vt:variant>
        <vt:lpwstr>http://money.163.com/keywords/9/8/988657df/1.html</vt:lpwstr>
      </vt:variant>
      <vt:variant>
        <vt:lpwstr/>
      </vt:variant>
      <vt:variant>
        <vt:i4>1376305</vt:i4>
      </vt:variant>
      <vt:variant>
        <vt:i4>416</vt:i4>
      </vt:variant>
      <vt:variant>
        <vt:i4>0</vt:i4>
      </vt:variant>
      <vt:variant>
        <vt:i4>5</vt:i4>
      </vt:variant>
      <vt:variant>
        <vt:lpwstr/>
      </vt:variant>
      <vt:variant>
        <vt:lpwstr>_Toc405462642</vt:lpwstr>
      </vt:variant>
      <vt:variant>
        <vt:i4>1376305</vt:i4>
      </vt:variant>
      <vt:variant>
        <vt:i4>410</vt:i4>
      </vt:variant>
      <vt:variant>
        <vt:i4>0</vt:i4>
      </vt:variant>
      <vt:variant>
        <vt:i4>5</vt:i4>
      </vt:variant>
      <vt:variant>
        <vt:lpwstr/>
      </vt:variant>
      <vt:variant>
        <vt:lpwstr>_Toc405462641</vt:lpwstr>
      </vt:variant>
      <vt:variant>
        <vt:i4>1376305</vt:i4>
      </vt:variant>
      <vt:variant>
        <vt:i4>404</vt:i4>
      </vt:variant>
      <vt:variant>
        <vt:i4>0</vt:i4>
      </vt:variant>
      <vt:variant>
        <vt:i4>5</vt:i4>
      </vt:variant>
      <vt:variant>
        <vt:lpwstr/>
      </vt:variant>
      <vt:variant>
        <vt:lpwstr>_Toc405462640</vt:lpwstr>
      </vt:variant>
      <vt:variant>
        <vt:i4>1179697</vt:i4>
      </vt:variant>
      <vt:variant>
        <vt:i4>398</vt:i4>
      </vt:variant>
      <vt:variant>
        <vt:i4>0</vt:i4>
      </vt:variant>
      <vt:variant>
        <vt:i4>5</vt:i4>
      </vt:variant>
      <vt:variant>
        <vt:lpwstr/>
      </vt:variant>
      <vt:variant>
        <vt:lpwstr>_Toc405462639</vt:lpwstr>
      </vt:variant>
      <vt:variant>
        <vt:i4>1179697</vt:i4>
      </vt:variant>
      <vt:variant>
        <vt:i4>392</vt:i4>
      </vt:variant>
      <vt:variant>
        <vt:i4>0</vt:i4>
      </vt:variant>
      <vt:variant>
        <vt:i4>5</vt:i4>
      </vt:variant>
      <vt:variant>
        <vt:lpwstr/>
      </vt:variant>
      <vt:variant>
        <vt:lpwstr>_Toc405462638</vt:lpwstr>
      </vt:variant>
      <vt:variant>
        <vt:i4>1179697</vt:i4>
      </vt:variant>
      <vt:variant>
        <vt:i4>386</vt:i4>
      </vt:variant>
      <vt:variant>
        <vt:i4>0</vt:i4>
      </vt:variant>
      <vt:variant>
        <vt:i4>5</vt:i4>
      </vt:variant>
      <vt:variant>
        <vt:lpwstr/>
      </vt:variant>
      <vt:variant>
        <vt:lpwstr>_Toc405462637</vt:lpwstr>
      </vt:variant>
      <vt:variant>
        <vt:i4>1179697</vt:i4>
      </vt:variant>
      <vt:variant>
        <vt:i4>380</vt:i4>
      </vt:variant>
      <vt:variant>
        <vt:i4>0</vt:i4>
      </vt:variant>
      <vt:variant>
        <vt:i4>5</vt:i4>
      </vt:variant>
      <vt:variant>
        <vt:lpwstr/>
      </vt:variant>
      <vt:variant>
        <vt:lpwstr>_Toc405462636</vt:lpwstr>
      </vt:variant>
      <vt:variant>
        <vt:i4>1179697</vt:i4>
      </vt:variant>
      <vt:variant>
        <vt:i4>374</vt:i4>
      </vt:variant>
      <vt:variant>
        <vt:i4>0</vt:i4>
      </vt:variant>
      <vt:variant>
        <vt:i4>5</vt:i4>
      </vt:variant>
      <vt:variant>
        <vt:lpwstr/>
      </vt:variant>
      <vt:variant>
        <vt:lpwstr>_Toc405462635</vt:lpwstr>
      </vt:variant>
      <vt:variant>
        <vt:i4>1179697</vt:i4>
      </vt:variant>
      <vt:variant>
        <vt:i4>368</vt:i4>
      </vt:variant>
      <vt:variant>
        <vt:i4>0</vt:i4>
      </vt:variant>
      <vt:variant>
        <vt:i4>5</vt:i4>
      </vt:variant>
      <vt:variant>
        <vt:lpwstr/>
      </vt:variant>
      <vt:variant>
        <vt:lpwstr>_Toc405462634</vt:lpwstr>
      </vt:variant>
      <vt:variant>
        <vt:i4>1179697</vt:i4>
      </vt:variant>
      <vt:variant>
        <vt:i4>362</vt:i4>
      </vt:variant>
      <vt:variant>
        <vt:i4>0</vt:i4>
      </vt:variant>
      <vt:variant>
        <vt:i4>5</vt:i4>
      </vt:variant>
      <vt:variant>
        <vt:lpwstr/>
      </vt:variant>
      <vt:variant>
        <vt:lpwstr>_Toc405462633</vt:lpwstr>
      </vt:variant>
      <vt:variant>
        <vt:i4>1179697</vt:i4>
      </vt:variant>
      <vt:variant>
        <vt:i4>356</vt:i4>
      </vt:variant>
      <vt:variant>
        <vt:i4>0</vt:i4>
      </vt:variant>
      <vt:variant>
        <vt:i4>5</vt:i4>
      </vt:variant>
      <vt:variant>
        <vt:lpwstr/>
      </vt:variant>
      <vt:variant>
        <vt:lpwstr>_Toc405462632</vt:lpwstr>
      </vt:variant>
      <vt:variant>
        <vt:i4>1179697</vt:i4>
      </vt:variant>
      <vt:variant>
        <vt:i4>350</vt:i4>
      </vt:variant>
      <vt:variant>
        <vt:i4>0</vt:i4>
      </vt:variant>
      <vt:variant>
        <vt:i4>5</vt:i4>
      </vt:variant>
      <vt:variant>
        <vt:lpwstr/>
      </vt:variant>
      <vt:variant>
        <vt:lpwstr>_Toc405462631</vt:lpwstr>
      </vt:variant>
      <vt:variant>
        <vt:i4>1179697</vt:i4>
      </vt:variant>
      <vt:variant>
        <vt:i4>344</vt:i4>
      </vt:variant>
      <vt:variant>
        <vt:i4>0</vt:i4>
      </vt:variant>
      <vt:variant>
        <vt:i4>5</vt:i4>
      </vt:variant>
      <vt:variant>
        <vt:lpwstr/>
      </vt:variant>
      <vt:variant>
        <vt:lpwstr>_Toc405462630</vt:lpwstr>
      </vt:variant>
      <vt:variant>
        <vt:i4>1245233</vt:i4>
      </vt:variant>
      <vt:variant>
        <vt:i4>338</vt:i4>
      </vt:variant>
      <vt:variant>
        <vt:i4>0</vt:i4>
      </vt:variant>
      <vt:variant>
        <vt:i4>5</vt:i4>
      </vt:variant>
      <vt:variant>
        <vt:lpwstr/>
      </vt:variant>
      <vt:variant>
        <vt:lpwstr>_Toc405462629</vt:lpwstr>
      </vt:variant>
      <vt:variant>
        <vt:i4>1245233</vt:i4>
      </vt:variant>
      <vt:variant>
        <vt:i4>332</vt:i4>
      </vt:variant>
      <vt:variant>
        <vt:i4>0</vt:i4>
      </vt:variant>
      <vt:variant>
        <vt:i4>5</vt:i4>
      </vt:variant>
      <vt:variant>
        <vt:lpwstr/>
      </vt:variant>
      <vt:variant>
        <vt:lpwstr>_Toc405462628</vt:lpwstr>
      </vt:variant>
      <vt:variant>
        <vt:i4>1245233</vt:i4>
      </vt:variant>
      <vt:variant>
        <vt:i4>326</vt:i4>
      </vt:variant>
      <vt:variant>
        <vt:i4>0</vt:i4>
      </vt:variant>
      <vt:variant>
        <vt:i4>5</vt:i4>
      </vt:variant>
      <vt:variant>
        <vt:lpwstr/>
      </vt:variant>
      <vt:variant>
        <vt:lpwstr>_Toc405462627</vt:lpwstr>
      </vt:variant>
      <vt:variant>
        <vt:i4>1245233</vt:i4>
      </vt:variant>
      <vt:variant>
        <vt:i4>320</vt:i4>
      </vt:variant>
      <vt:variant>
        <vt:i4>0</vt:i4>
      </vt:variant>
      <vt:variant>
        <vt:i4>5</vt:i4>
      </vt:variant>
      <vt:variant>
        <vt:lpwstr/>
      </vt:variant>
      <vt:variant>
        <vt:lpwstr>_Toc405462626</vt:lpwstr>
      </vt:variant>
      <vt:variant>
        <vt:i4>1245233</vt:i4>
      </vt:variant>
      <vt:variant>
        <vt:i4>314</vt:i4>
      </vt:variant>
      <vt:variant>
        <vt:i4>0</vt:i4>
      </vt:variant>
      <vt:variant>
        <vt:i4>5</vt:i4>
      </vt:variant>
      <vt:variant>
        <vt:lpwstr/>
      </vt:variant>
      <vt:variant>
        <vt:lpwstr>_Toc405462625</vt:lpwstr>
      </vt:variant>
      <vt:variant>
        <vt:i4>1245233</vt:i4>
      </vt:variant>
      <vt:variant>
        <vt:i4>308</vt:i4>
      </vt:variant>
      <vt:variant>
        <vt:i4>0</vt:i4>
      </vt:variant>
      <vt:variant>
        <vt:i4>5</vt:i4>
      </vt:variant>
      <vt:variant>
        <vt:lpwstr/>
      </vt:variant>
      <vt:variant>
        <vt:lpwstr>_Toc405462624</vt:lpwstr>
      </vt:variant>
      <vt:variant>
        <vt:i4>1245233</vt:i4>
      </vt:variant>
      <vt:variant>
        <vt:i4>302</vt:i4>
      </vt:variant>
      <vt:variant>
        <vt:i4>0</vt:i4>
      </vt:variant>
      <vt:variant>
        <vt:i4>5</vt:i4>
      </vt:variant>
      <vt:variant>
        <vt:lpwstr/>
      </vt:variant>
      <vt:variant>
        <vt:lpwstr>_Toc405462623</vt:lpwstr>
      </vt:variant>
      <vt:variant>
        <vt:i4>1245233</vt:i4>
      </vt:variant>
      <vt:variant>
        <vt:i4>296</vt:i4>
      </vt:variant>
      <vt:variant>
        <vt:i4>0</vt:i4>
      </vt:variant>
      <vt:variant>
        <vt:i4>5</vt:i4>
      </vt:variant>
      <vt:variant>
        <vt:lpwstr/>
      </vt:variant>
      <vt:variant>
        <vt:lpwstr>_Toc405462622</vt:lpwstr>
      </vt:variant>
      <vt:variant>
        <vt:i4>1245233</vt:i4>
      </vt:variant>
      <vt:variant>
        <vt:i4>290</vt:i4>
      </vt:variant>
      <vt:variant>
        <vt:i4>0</vt:i4>
      </vt:variant>
      <vt:variant>
        <vt:i4>5</vt:i4>
      </vt:variant>
      <vt:variant>
        <vt:lpwstr/>
      </vt:variant>
      <vt:variant>
        <vt:lpwstr>_Toc405462621</vt:lpwstr>
      </vt:variant>
      <vt:variant>
        <vt:i4>1245233</vt:i4>
      </vt:variant>
      <vt:variant>
        <vt:i4>284</vt:i4>
      </vt:variant>
      <vt:variant>
        <vt:i4>0</vt:i4>
      </vt:variant>
      <vt:variant>
        <vt:i4>5</vt:i4>
      </vt:variant>
      <vt:variant>
        <vt:lpwstr/>
      </vt:variant>
      <vt:variant>
        <vt:lpwstr>_Toc405462620</vt:lpwstr>
      </vt:variant>
      <vt:variant>
        <vt:i4>1048625</vt:i4>
      </vt:variant>
      <vt:variant>
        <vt:i4>278</vt:i4>
      </vt:variant>
      <vt:variant>
        <vt:i4>0</vt:i4>
      </vt:variant>
      <vt:variant>
        <vt:i4>5</vt:i4>
      </vt:variant>
      <vt:variant>
        <vt:lpwstr/>
      </vt:variant>
      <vt:variant>
        <vt:lpwstr>_Toc405462619</vt:lpwstr>
      </vt:variant>
      <vt:variant>
        <vt:i4>1048625</vt:i4>
      </vt:variant>
      <vt:variant>
        <vt:i4>272</vt:i4>
      </vt:variant>
      <vt:variant>
        <vt:i4>0</vt:i4>
      </vt:variant>
      <vt:variant>
        <vt:i4>5</vt:i4>
      </vt:variant>
      <vt:variant>
        <vt:lpwstr/>
      </vt:variant>
      <vt:variant>
        <vt:lpwstr>_Toc405462618</vt:lpwstr>
      </vt:variant>
      <vt:variant>
        <vt:i4>1048625</vt:i4>
      </vt:variant>
      <vt:variant>
        <vt:i4>266</vt:i4>
      </vt:variant>
      <vt:variant>
        <vt:i4>0</vt:i4>
      </vt:variant>
      <vt:variant>
        <vt:i4>5</vt:i4>
      </vt:variant>
      <vt:variant>
        <vt:lpwstr/>
      </vt:variant>
      <vt:variant>
        <vt:lpwstr>_Toc405462617</vt:lpwstr>
      </vt:variant>
      <vt:variant>
        <vt:i4>1048625</vt:i4>
      </vt:variant>
      <vt:variant>
        <vt:i4>260</vt:i4>
      </vt:variant>
      <vt:variant>
        <vt:i4>0</vt:i4>
      </vt:variant>
      <vt:variant>
        <vt:i4>5</vt:i4>
      </vt:variant>
      <vt:variant>
        <vt:lpwstr/>
      </vt:variant>
      <vt:variant>
        <vt:lpwstr>_Toc405462616</vt:lpwstr>
      </vt:variant>
      <vt:variant>
        <vt:i4>1048625</vt:i4>
      </vt:variant>
      <vt:variant>
        <vt:i4>254</vt:i4>
      </vt:variant>
      <vt:variant>
        <vt:i4>0</vt:i4>
      </vt:variant>
      <vt:variant>
        <vt:i4>5</vt:i4>
      </vt:variant>
      <vt:variant>
        <vt:lpwstr/>
      </vt:variant>
      <vt:variant>
        <vt:lpwstr>_Toc405462615</vt:lpwstr>
      </vt:variant>
      <vt:variant>
        <vt:i4>1048625</vt:i4>
      </vt:variant>
      <vt:variant>
        <vt:i4>245</vt:i4>
      </vt:variant>
      <vt:variant>
        <vt:i4>0</vt:i4>
      </vt:variant>
      <vt:variant>
        <vt:i4>5</vt:i4>
      </vt:variant>
      <vt:variant>
        <vt:lpwstr/>
      </vt:variant>
      <vt:variant>
        <vt:lpwstr>_Toc405462614</vt:lpwstr>
      </vt:variant>
      <vt:variant>
        <vt:i4>1048625</vt:i4>
      </vt:variant>
      <vt:variant>
        <vt:i4>239</vt:i4>
      </vt:variant>
      <vt:variant>
        <vt:i4>0</vt:i4>
      </vt:variant>
      <vt:variant>
        <vt:i4>5</vt:i4>
      </vt:variant>
      <vt:variant>
        <vt:lpwstr/>
      </vt:variant>
      <vt:variant>
        <vt:lpwstr>_Toc405462613</vt:lpwstr>
      </vt:variant>
      <vt:variant>
        <vt:i4>1048625</vt:i4>
      </vt:variant>
      <vt:variant>
        <vt:i4>233</vt:i4>
      </vt:variant>
      <vt:variant>
        <vt:i4>0</vt:i4>
      </vt:variant>
      <vt:variant>
        <vt:i4>5</vt:i4>
      </vt:variant>
      <vt:variant>
        <vt:lpwstr/>
      </vt:variant>
      <vt:variant>
        <vt:lpwstr>_Toc405462612</vt:lpwstr>
      </vt:variant>
      <vt:variant>
        <vt:i4>1048625</vt:i4>
      </vt:variant>
      <vt:variant>
        <vt:i4>227</vt:i4>
      </vt:variant>
      <vt:variant>
        <vt:i4>0</vt:i4>
      </vt:variant>
      <vt:variant>
        <vt:i4>5</vt:i4>
      </vt:variant>
      <vt:variant>
        <vt:lpwstr/>
      </vt:variant>
      <vt:variant>
        <vt:lpwstr>_Toc405462611</vt:lpwstr>
      </vt:variant>
      <vt:variant>
        <vt:i4>1048625</vt:i4>
      </vt:variant>
      <vt:variant>
        <vt:i4>221</vt:i4>
      </vt:variant>
      <vt:variant>
        <vt:i4>0</vt:i4>
      </vt:variant>
      <vt:variant>
        <vt:i4>5</vt:i4>
      </vt:variant>
      <vt:variant>
        <vt:lpwstr/>
      </vt:variant>
      <vt:variant>
        <vt:lpwstr>_Toc405462610</vt:lpwstr>
      </vt:variant>
      <vt:variant>
        <vt:i4>1114161</vt:i4>
      </vt:variant>
      <vt:variant>
        <vt:i4>215</vt:i4>
      </vt:variant>
      <vt:variant>
        <vt:i4>0</vt:i4>
      </vt:variant>
      <vt:variant>
        <vt:i4>5</vt:i4>
      </vt:variant>
      <vt:variant>
        <vt:lpwstr/>
      </vt:variant>
      <vt:variant>
        <vt:lpwstr>_Toc405462609</vt:lpwstr>
      </vt:variant>
      <vt:variant>
        <vt:i4>1114161</vt:i4>
      </vt:variant>
      <vt:variant>
        <vt:i4>209</vt:i4>
      </vt:variant>
      <vt:variant>
        <vt:i4>0</vt:i4>
      </vt:variant>
      <vt:variant>
        <vt:i4>5</vt:i4>
      </vt:variant>
      <vt:variant>
        <vt:lpwstr/>
      </vt:variant>
      <vt:variant>
        <vt:lpwstr>_Toc405462608</vt:lpwstr>
      </vt:variant>
      <vt:variant>
        <vt:i4>1114161</vt:i4>
      </vt:variant>
      <vt:variant>
        <vt:i4>200</vt:i4>
      </vt:variant>
      <vt:variant>
        <vt:i4>0</vt:i4>
      </vt:variant>
      <vt:variant>
        <vt:i4>5</vt:i4>
      </vt:variant>
      <vt:variant>
        <vt:lpwstr/>
      </vt:variant>
      <vt:variant>
        <vt:lpwstr>_Toc405462607</vt:lpwstr>
      </vt:variant>
      <vt:variant>
        <vt:i4>1114161</vt:i4>
      </vt:variant>
      <vt:variant>
        <vt:i4>194</vt:i4>
      </vt:variant>
      <vt:variant>
        <vt:i4>0</vt:i4>
      </vt:variant>
      <vt:variant>
        <vt:i4>5</vt:i4>
      </vt:variant>
      <vt:variant>
        <vt:lpwstr/>
      </vt:variant>
      <vt:variant>
        <vt:lpwstr>_Toc405462606</vt:lpwstr>
      </vt:variant>
      <vt:variant>
        <vt:i4>1114161</vt:i4>
      </vt:variant>
      <vt:variant>
        <vt:i4>188</vt:i4>
      </vt:variant>
      <vt:variant>
        <vt:i4>0</vt:i4>
      </vt:variant>
      <vt:variant>
        <vt:i4>5</vt:i4>
      </vt:variant>
      <vt:variant>
        <vt:lpwstr/>
      </vt:variant>
      <vt:variant>
        <vt:lpwstr>_Toc405462605</vt:lpwstr>
      </vt:variant>
      <vt:variant>
        <vt:i4>1114161</vt:i4>
      </vt:variant>
      <vt:variant>
        <vt:i4>182</vt:i4>
      </vt:variant>
      <vt:variant>
        <vt:i4>0</vt:i4>
      </vt:variant>
      <vt:variant>
        <vt:i4>5</vt:i4>
      </vt:variant>
      <vt:variant>
        <vt:lpwstr/>
      </vt:variant>
      <vt:variant>
        <vt:lpwstr>_Toc405462604</vt:lpwstr>
      </vt:variant>
      <vt:variant>
        <vt:i4>1114161</vt:i4>
      </vt:variant>
      <vt:variant>
        <vt:i4>176</vt:i4>
      </vt:variant>
      <vt:variant>
        <vt:i4>0</vt:i4>
      </vt:variant>
      <vt:variant>
        <vt:i4>5</vt:i4>
      </vt:variant>
      <vt:variant>
        <vt:lpwstr/>
      </vt:variant>
      <vt:variant>
        <vt:lpwstr>_Toc405462603</vt:lpwstr>
      </vt:variant>
      <vt:variant>
        <vt:i4>1114161</vt:i4>
      </vt:variant>
      <vt:variant>
        <vt:i4>170</vt:i4>
      </vt:variant>
      <vt:variant>
        <vt:i4>0</vt:i4>
      </vt:variant>
      <vt:variant>
        <vt:i4>5</vt:i4>
      </vt:variant>
      <vt:variant>
        <vt:lpwstr/>
      </vt:variant>
      <vt:variant>
        <vt:lpwstr>_Toc405462602</vt:lpwstr>
      </vt:variant>
      <vt:variant>
        <vt:i4>1114161</vt:i4>
      </vt:variant>
      <vt:variant>
        <vt:i4>164</vt:i4>
      </vt:variant>
      <vt:variant>
        <vt:i4>0</vt:i4>
      </vt:variant>
      <vt:variant>
        <vt:i4>5</vt:i4>
      </vt:variant>
      <vt:variant>
        <vt:lpwstr/>
      </vt:variant>
      <vt:variant>
        <vt:lpwstr>_Toc405462601</vt:lpwstr>
      </vt:variant>
      <vt:variant>
        <vt:i4>1114161</vt:i4>
      </vt:variant>
      <vt:variant>
        <vt:i4>158</vt:i4>
      </vt:variant>
      <vt:variant>
        <vt:i4>0</vt:i4>
      </vt:variant>
      <vt:variant>
        <vt:i4>5</vt:i4>
      </vt:variant>
      <vt:variant>
        <vt:lpwstr/>
      </vt:variant>
      <vt:variant>
        <vt:lpwstr>_Toc405462600</vt:lpwstr>
      </vt:variant>
      <vt:variant>
        <vt:i4>1572914</vt:i4>
      </vt:variant>
      <vt:variant>
        <vt:i4>152</vt:i4>
      </vt:variant>
      <vt:variant>
        <vt:i4>0</vt:i4>
      </vt:variant>
      <vt:variant>
        <vt:i4>5</vt:i4>
      </vt:variant>
      <vt:variant>
        <vt:lpwstr/>
      </vt:variant>
      <vt:variant>
        <vt:lpwstr>_Toc405462599</vt:lpwstr>
      </vt:variant>
      <vt:variant>
        <vt:i4>1572914</vt:i4>
      </vt:variant>
      <vt:variant>
        <vt:i4>146</vt:i4>
      </vt:variant>
      <vt:variant>
        <vt:i4>0</vt:i4>
      </vt:variant>
      <vt:variant>
        <vt:i4>5</vt:i4>
      </vt:variant>
      <vt:variant>
        <vt:lpwstr/>
      </vt:variant>
      <vt:variant>
        <vt:lpwstr>_Toc405462598</vt:lpwstr>
      </vt:variant>
      <vt:variant>
        <vt:i4>1572914</vt:i4>
      </vt:variant>
      <vt:variant>
        <vt:i4>140</vt:i4>
      </vt:variant>
      <vt:variant>
        <vt:i4>0</vt:i4>
      </vt:variant>
      <vt:variant>
        <vt:i4>5</vt:i4>
      </vt:variant>
      <vt:variant>
        <vt:lpwstr/>
      </vt:variant>
      <vt:variant>
        <vt:lpwstr>_Toc405462597</vt:lpwstr>
      </vt:variant>
      <vt:variant>
        <vt:i4>1572914</vt:i4>
      </vt:variant>
      <vt:variant>
        <vt:i4>134</vt:i4>
      </vt:variant>
      <vt:variant>
        <vt:i4>0</vt:i4>
      </vt:variant>
      <vt:variant>
        <vt:i4>5</vt:i4>
      </vt:variant>
      <vt:variant>
        <vt:lpwstr/>
      </vt:variant>
      <vt:variant>
        <vt:lpwstr>_Toc405462596</vt:lpwstr>
      </vt:variant>
      <vt:variant>
        <vt:i4>1572914</vt:i4>
      </vt:variant>
      <vt:variant>
        <vt:i4>128</vt:i4>
      </vt:variant>
      <vt:variant>
        <vt:i4>0</vt:i4>
      </vt:variant>
      <vt:variant>
        <vt:i4>5</vt:i4>
      </vt:variant>
      <vt:variant>
        <vt:lpwstr/>
      </vt:variant>
      <vt:variant>
        <vt:lpwstr>_Toc405462595</vt:lpwstr>
      </vt:variant>
      <vt:variant>
        <vt:i4>1572914</vt:i4>
      </vt:variant>
      <vt:variant>
        <vt:i4>122</vt:i4>
      </vt:variant>
      <vt:variant>
        <vt:i4>0</vt:i4>
      </vt:variant>
      <vt:variant>
        <vt:i4>5</vt:i4>
      </vt:variant>
      <vt:variant>
        <vt:lpwstr/>
      </vt:variant>
      <vt:variant>
        <vt:lpwstr>_Toc405462594</vt:lpwstr>
      </vt:variant>
      <vt:variant>
        <vt:i4>1572914</vt:i4>
      </vt:variant>
      <vt:variant>
        <vt:i4>116</vt:i4>
      </vt:variant>
      <vt:variant>
        <vt:i4>0</vt:i4>
      </vt:variant>
      <vt:variant>
        <vt:i4>5</vt:i4>
      </vt:variant>
      <vt:variant>
        <vt:lpwstr/>
      </vt:variant>
      <vt:variant>
        <vt:lpwstr>_Toc405462593</vt:lpwstr>
      </vt:variant>
      <vt:variant>
        <vt:i4>1572914</vt:i4>
      </vt:variant>
      <vt:variant>
        <vt:i4>110</vt:i4>
      </vt:variant>
      <vt:variant>
        <vt:i4>0</vt:i4>
      </vt:variant>
      <vt:variant>
        <vt:i4>5</vt:i4>
      </vt:variant>
      <vt:variant>
        <vt:lpwstr/>
      </vt:variant>
      <vt:variant>
        <vt:lpwstr>_Toc405462592</vt:lpwstr>
      </vt:variant>
      <vt:variant>
        <vt:i4>1572914</vt:i4>
      </vt:variant>
      <vt:variant>
        <vt:i4>104</vt:i4>
      </vt:variant>
      <vt:variant>
        <vt:i4>0</vt:i4>
      </vt:variant>
      <vt:variant>
        <vt:i4>5</vt:i4>
      </vt:variant>
      <vt:variant>
        <vt:lpwstr/>
      </vt:variant>
      <vt:variant>
        <vt:lpwstr>_Toc405462591</vt:lpwstr>
      </vt:variant>
      <vt:variant>
        <vt:i4>1572914</vt:i4>
      </vt:variant>
      <vt:variant>
        <vt:i4>98</vt:i4>
      </vt:variant>
      <vt:variant>
        <vt:i4>0</vt:i4>
      </vt:variant>
      <vt:variant>
        <vt:i4>5</vt:i4>
      </vt:variant>
      <vt:variant>
        <vt:lpwstr/>
      </vt:variant>
      <vt:variant>
        <vt:lpwstr>_Toc405462590</vt:lpwstr>
      </vt:variant>
      <vt:variant>
        <vt:i4>1638450</vt:i4>
      </vt:variant>
      <vt:variant>
        <vt:i4>92</vt:i4>
      </vt:variant>
      <vt:variant>
        <vt:i4>0</vt:i4>
      </vt:variant>
      <vt:variant>
        <vt:i4>5</vt:i4>
      </vt:variant>
      <vt:variant>
        <vt:lpwstr/>
      </vt:variant>
      <vt:variant>
        <vt:lpwstr>_Toc405462589</vt:lpwstr>
      </vt:variant>
      <vt:variant>
        <vt:i4>1638450</vt:i4>
      </vt:variant>
      <vt:variant>
        <vt:i4>86</vt:i4>
      </vt:variant>
      <vt:variant>
        <vt:i4>0</vt:i4>
      </vt:variant>
      <vt:variant>
        <vt:i4>5</vt:i4>
      </vt:variant>
      <vt:variant>
        <vt:lpwstr/>
      </vt:variant>
      <vt:variant>
        <vt:lpwstr>_Toc405462588</vt:lpwstr>
      </vt:variant>
      <vt:variant>
        <vt:i4>1638450</vt:i4>
      </vt:variant>
      <vt:variant>
        <vt:i4>80</vt:i4>
      </vt:variant>
      <vt:variant>
        <vt:i4>0</vt:i4>
      </vt:variant>
      <vt:variant>
        <vt:i4>5</vt:i4>
      </vt:variant>
      <vt:variant>
        <vt:lpwstr/>
      </vt:variant>
      <vt:variant>
        <vt:lpwstr>_Toc405462587</vt:lpwstr>
      </vt:variant>
      <vt:variant>
        <vt:i4>1638450</vt:i4>
      </vt:variant>
      <vt:variant>
        <vt:i4>74</vt:i4>
      </vt:variant>
      <vt:variant>
        <vt:i4>0</vt:i4>
      </vt:variant>
      <vt:variant>
        <vt:i4>5</vt:i4>
      </vt:variant>
      <vt:variant>
        <vt:lpwstr/>
      </vt:variant>
      <vt:variant>
        <vt:lpwstr>_Toc405462586</vt:lpwstr>
      </vt:variant>
      <vt:variant>
        <vt:i4>1638450</vt:i4>
      </vt:variant>
      <vt:variant>
        <vt:i4>68</vt:i4>
      </vt:variant>
      <vt:variant>
        <vt:i4>0</vt:i4>
      </vt:variant>
      <vt:variant>
        <vt:i4>5</vt:i4>
      </vt:variant>
      <vt:variant>
        <vt:lpwstr/>
      </vt:variant>
      <vt:variant>
        <vt:lpwstr>_Toc405462585</vt:lpwstr>
      </vt:variant>
      <vt:variant>
        <vt:i4>1638450</vt:i4>
      </vt:variant>
      <vt:variant>
        <vt:i4>62</vt:i4>
      </vt:variant>
      <vt:variant>
        <vt:i4>0</vt:i4>
      </vt:variant>
      <vt:variant>
        <vt:i4>5</vt:i4>
      </vt:variant>
      <vt:variant>
        <vt:lpwstr/>
      </vt:variant>
      <vt:variant>
        <vt:lpwstr>_Toc405462584</vt:lpwstr>
      </vt:variant>
      <vt:variant>
        <vt:i4>1638450</vt:i4>
      </vt:variant>
      <vt:variant>
        <vt:i4>56</vt:i4>
      </vt:variant>
      <vt:variant>
        <vt:i4>0</vt:i4>
      </vt:variant>
      <vt:variant>
        <vt:i4>5</vt:i4>
      </vt:variant>
      <vt:variant>
        <vt:lpwstr/>
      </vt:variant>
      <vt:variant>
        <vt:lpwstr>_Toc405462583</vt:lpwstr>
      </vt:variant>
      <vt:variant>
        <vt:i4>1638450</vt:i4>
      </vt:variant>
      <vt:variant>
        <vt:i4>50</vt:i4>
      </vt:variant>
      <vt:variant>
        <vt:i4>0</vt:i4>
      </vt:variant>
      <vt:variant>
        <vt:i4>5</vt:i4>
      </vt:variant>
      <vt:variant>
        <vt:lpwstr/>
      </vt:variant>
      <vt:variant>
        <vt:lpwstr>_Toc405462582</vt:lpwstr>
      </vt:variant>
      <vt:variant>
        <vt:i4>1638450</vt:i4>
      </vt:variant>
      <vt:variant>
        <vt:i4>44</vt:i4>
      </vt:variant>
      <vt:variant>
        <vt:i4>0</vt:i4>
      </vt:variant>
      <vt:variant>
        <vt:i4>5</vt:i4>
      </vt:variant>
      <vt:variant>
        <vt:lpwstr/>
      </vt:variant>
      <vt:variant>
        <vt:lpwstr>_Toc405462581</vt:lpwstr>
      </vt:variant>
      <vt:variant>
        <vt:i4>1638450</vt:i4>
      </vt:variant>
      <vt:variant>
        <vt:i4>38</vt:i4>
      </vt:variant>
      <vt:variant>
        <vt:i4>0</vt:i4>
      </vt:variant>
      <vt:variant>
        <vt:i4>5</vt:i4>
      </vt:variant>
      <vt:variant>
        <vt:lpwstr/>
      </vt:variant>
      <vt:variant>
        <vt:lpwstr>_Toc405462580</vt:lpwstr>
      </vt:variant>
      <vt:variant>
        <vt:i4>1441842</vt:i4>
      </vt:variant>
      <vt:variant>
        <vt:i4>32</vt:i4>
      </vt:variant>
      <vt:variant>
        <vt:i4>0</vt:i4>
      </vt:variant>
      <vt:variant>
        <vt:i4>5</vt:i4>
      </vt:variant>
      <vt:variant>
        <vt:lpwstr/>
      </vt:variant>
      <vt:variant>
        <vt:lpwstr>_Toc405462579</vt:lpwstr>
      </vt:variant>
      <vt:variant>
        <vt:i4>1441842</vt:i4>
      </vt:variant>
      <vt:variant>
        <vt:i4>26</vt:i4>
      </vt:variant>
      <vt:variant>
        <vt:i4>0</vt:i4>
      </vt:variant>
      <vt:variant>
        <vt:i4>5</vt:i4>
      </vt:variant>
      <vt:variant>
        <vt:lpwstr/>
      </vt:variant>
      <vt:variant>
        <vt:lpwstr>_Toc405462578</vt:lpwstr>
      </vt:variant>
      <vt:variant>
        <vt:i4>1441842</vt:i4>
      </vt:variant>
      <vt:variant>
        <vt:i4>20</vt:i4>
      </vt:variant>
      <vt:variant>
        <vt:i4>0</vt:i4>
      </vt:variant>
      <vt:variant>
        <vt:i4>5</vt:i4>
      </vt:variant>
      <vt:variant>
        <vt:lpwstr/>
      </vt:variant>
      <vt:variant>
        <vt:lpwstr>_Toc405462577</vt:lpwstr>
      </vt:variant>
      <vt:variant>
        <vt:i4>1441842</vt:i4>
      </vt:variant>
      <vt:variant>
        <vt:i4>14</vt:i4>
      </vt:variant>
      <vt:variant>
        <vt:i4>0</vt:i4>
      </vt:variant>
      <vt:variant>
        <vt:i4>5</vt:i4>
      </vt:variant>
      <vt:variant>
        <vt:lpwstr/>
      </vt:variant>
      <vt:variant>
        <vt:lpwstr>_Toc405462576</vt:lpwstr>
      </vt:variant>
      <vt:variant>
        <vt:i4>1441842</vt:i4>
      </vt:variant>
      <vt:variant>
        <vt:i4>8</vt:i4>
      </vt:variant>
      <vt:variant>
        <vt:i4>0</vt:i4>
      </vt:variant>
      <vt:variant>
        <vt:i4>5</vt:i4>
      </vt:variant>
      <vt:variant>
        <vt:lpwstr/>
      </vt:variant>
      <vt:variant>
        <vt:lpwstr>_Toc405462575</vt:lpwstr>
      </vt:variant>
      <vt:variant>
        <vt:i4>1441842</vt:i4>
      </vt:variant>
      <vt:variant>
        <vt:i4>2</vt:i4>
      </vt:variant>
      <vt:variant>
        <vt:i4>0</vt:i4>
      </vt:variant>
      <vt:variant>
        <vt:i4>5</vt:i4>
      </vt:variant>
      <vt:variant>
        <vt:lpwstr/>
      </vt:variant>
      <vt:variant>
        <vt:lpwstr>_Toc405462574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103年度</dc:title>
  <dc:creator>DEPT5015</dc:creator>
  <cp:lastModifiedBy>朱明輝</cp:lastModifiedBy>
  <cp:revision>6</cp:revision>
  <cp:lastPrinted>2016-09-19T02:12:00Z</cp:lastPrinted>
  <dcterms:created xsi:type="dcterms:W3CDTF">2016-09-02T02:43:00Z</dcterms:created>
  <dcterms:modified xsi:type="dcterms:W3CDTF">2016-09-19T02:56:00Z</dcterms:modified>
</cp:coreProperties>
</file>