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00B" w:rsidRPr="00197E0F" w:rsidRDefault="00726795" w:rsidP="0040185E">
      <w:pPr>
        <w:ind w:left="360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proofErr w:type="gramStart"/>
      <w:r w:rsidRPr="00197E0F">
        <w:rPr>
          <w:rFonts w:ascii="Times New Roman" w:eastAsia="標楷體" w:hAnsi="Times New Roman" w:cs="Times New Roman"/>
          <w:b/>
          <w:bCs/>
          <w:sz w:val="32"/>
          <w:szCs w:val="32"/>
        </w:rPr>
        <w:t>105</w:t>
      </w:r>
      <w:proofErr w:type="gramEnd"/>
      <w:r w:rsidRPr="00197E0F">
        <w:rPr>
          <w:rFonts w:ascii="Times New Roman" w:eastAsia="標楷體" w:hAnsi="Times New Roman" w:cs="Times New Roman"/>
          <w:b/>
          <w:bCs/>
          <w:sz w:val="32"/>
          <w:szCs w:val="32"/>
        </w:rPr>
        <w:t>年度經濟部</w:t>
      </w:r>
      <w:r w:rsidR="00625CC1" w:rsidRPr="00197E0F">
        <w:rPr>
          <w:rFonts w:ascii="Times New Roman" w:eastAsia="標楷體" w:hAnsi="Times New Roman" w:cs="Times New Roman"/>
          <w:b/>
          <w:bCs/>
          <w:sz w:val="32"/>
          <w:szCs w:val="32"/>
        </w:rPr>
        <w:t>開放資料集目標值</w:t>
      </w:r>
    </w:p>
    <w:p w:rsidR="00C42855" w:rsidRPr="00197E0F" w:rsidRDefault="00AA6791" w:rsidP="00AA6791">
      <w:pPr>
        <w:jc w:val="right"/>
        <w:rPr>
          <w:rFonts w:ascii="Times New Roman" w:eastAsia="標楷體" w:hAnsi="Times New Roman" w:cs="Times New Roman"/>
        </w:rPr>
      </w:pPr>
      <w:r w:rsidRPr="00197E0F">
        <w:rPr>
          <w:rFonts w:ascii="Times New Roman" w:eastAsia="標楷體" w:hAnsi="Times New Roman" w:cs="Times New Roman"/>
        </w:rPr>
        <w:t xml:space="preserve"> </w:t>
      </w:r>
      <w:r w:rsidR="00726795" w:rsidRPr="00197E0F">
        <w:rPr>
          <w:rFonts w:ascii="Times New Roman" w:eastAsia="標楷體" w:hAnsi="Times New Roman" w:cs="Times New Roman"/>
        </w:rPr>
        <w:t>105.3.29</w:t>
      </w:r>
    </w:p>
    <w:tbl>
      <w:tblPr>
        <w:tblStyle w:val="a3"/>
        <w:tblW w:w="85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417"/>
        <w:gridCol w:w="1418"/>
        <w:gridCol w:w="3827"/>
      </w:tblGrid>
      <w:tr w:rsidR="00AA6791" w:rsidRPr="00197E0F" w:rsidTr="00D04D60">
        <w:trPr>
          <w:trHeight w:val="336"/>
          <w:tblHeader/>
        </w:trPr>
        <w:tc>
          <w:tcPr>
            <w:tcW w:w="426" w:type="dxa"/>
            <w:vMerge w:val="restart"/>
            <w:vAlign w:val="center"/>
          </w:tcPr>
          <w:p w:rsidR="00AA6791" w:rsidRPr="00197E0F" w:rsidRDefault="00AA6791" w:rsidP="00AA6791">
            <w:pPr>
              <w:pStyle w:val="Web"/>
              <w:spacing w:line="500" w:lineRule="exact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8"/>
                <w:szCs w:val="28"/>
              </w:rPr>
              <w:t>群組</w:t>
            </w:r>
          </w:p>
        </w:tc>
        <w:tc>
          <w:tcPr>
            <w:tcW w:w="4253" w:type="dxa"/>
            <w:gridSpan w:val="3"/>
            <w:vAlign w:val="center"/>
          </w:tcPr>
          <w:p w:rsidR="00AA6791" w:rsidRPr="00197E0F" w:rsidRDefault="00AA6791" w:rsidP="00AA6791">
            <w:pPr>
              <w:pStyle w:val="Web"/>
              <w:spacing w:line="50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8"/>
                <w:szCs w:val="28"/>
              </w:rPr>
              <w:t>105</w:t>
            </w: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8"/>
                <w:szCs w:val="28"/>
              </w:rPr>
              <w:t>年新增開放資料集數量</w:t>
            </w:r>
          </w:p>
        </w:tc>
        <w:tc>
          <w:tcPr>
            <w:tcW w:w="3827" w:type="dxa"/>
            <w:vMerge w:val="restart"/>
            <w:vAlign w:val="center"/>
          </w:tcPr>
          <w:p w:rsidR="00AA6791" w:rsidRPr="00197E0F" w:rsidRDefault="00AA6791" w:rsidP="00AA6791">
            <w:pPr>
              <w:pStyle w:val="Web"/>
              <w:spacing w:line="500" w:lineRule="exact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sz w:val="28"/>
                <w:szCs w:val="28"/>
              </w:rPr>
              <w:t>單位名稱</w:t>
            </w:r>
          </w:p>
        </w:tc>
      </w:tr>
      <w:tr w:rsidR="00AA6791" w:rsidRPr="00197E0F" w:rsidTr="00D04D60">
        <w:trPr>
          <w:trHeight w:val="336"/>
          <w:tblHeader/>
        </w:trPr>
        <w:tc>
          <w:tcPr>
            <w:tcW w:w="426" w:type="dxa"/>
            <w:vMerge/>
            <w:vAlign w:val="center"/>
          </w:tcPr>
          <w:p w:rsidR="00AA6791" w:rsidRPr="00197E0F" w:rsidRDefault="00AA6791">
            <w:pPr>
              <w:pStyle w:val="Web"/>
              <w:spacing w:before="0" w:beforeAutospacing="0" w:after="0" w:afterAutospacing="0" w:line="500" w:lineRule="exact"/>
              <w:jc w:val="center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</w:pPr>
          </w:p>
        </w:tc>
        <w:tc>
          <w:tcPr>
            <w:tcW w:w="1418" w:type="dxa"/>
            <w:vAlign w:val="center"/>
          </w:tcPr>
          <w:p w:rsidR="00AA6791" w:rsidRPr="00197E0F" w:rsidRDefault="00AA6791" w:rsidP="00AA6791">
            <w:pPr>
              <w:pStyle w:val="Web"/>
              <w:spacing w:before="0" w:beforeAutospacing="0" w:after="0" w:afterAutospacing="0"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第二季</w:t>
            </w:r>
          </w:p>
        </w:tc>
        <w:tc>
          <w:tcPr>
            <w:tcW w:w="1417" w:type="dxa"/>
            <w:vAlign w:val="center"/>
          </w:tcPr>
          <w:p w:rsidR="00AA6791" w:rsidRPr="00197E0F" w:rsidRDefault="00AA6791" w:rsidP="00AA6791">
            <w:pPr>
              <w:pStyle w:val="Web"/>
              <w:spacing w:before="0" w:beforeAutospacing="0" w:after="0" w:afterAutospacing="0"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第三季</w:t>
            </w:r>
          </w:p>
        </w:tc>
        <w:tc>
          <w:tcPr>
            <w:tcW w:w="1418" w:type="dxa"/>
            <w:vAlign w:val="center"/>
          </w:tcPr>
          <w:p w:rsidR="00AA6791" w:rsidRPr="00197E0F" w:rsidRDefault="00AA6791" w:rsidP="00AA6791">
            <w:pPr>
              <w:pStyle w:val="Web"/>
              <w:spacing w:before="0" w:beforeAutospacing="0" w:after="0" w:afterAutospacing="0"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36"/>
                <w:szCs w:val="36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第四季</w:t>
            </w:r>
          </w:p>
        </w:tc>
        <w:tc>
          <w:tcPr>
            <w:tcW w:w="3827" w:type="dxa"/>
            <w:vMerge/>
            <w:vAlign w:val="center"/>
          </w:tcPr>
          <w:p w:rsidR="00AA6791" w:rsidRPr="00197E0F" w:rsidRDefault="00AA6791">
            <w:pPr>
              <w:pStyle w:val="Web"/>
              <w:spacing w:before="0" w:beforeAutospacing="0" w:after="0" w:afterAutospacing="0" w:line="500" w:lineRule="exact"/>
              <w:jc w:val="center"/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</w:rPr>
            </w:pPr>
          </w:p>
        </w:tc>
      </w:tr>
      <w:tr w:rsidR="00AA6791" w:rsidRPr="00197E0F" w:rsidTr="00D04D60">
        <w:tc>
          <w:tcPr>
            <w:tcW w:w="426" w:type="dxa"/>
            <w:vAlign w:val="center"/>
          </w:tcPr>
          <w:p w:rsidR="0040185E" w:rsidRPr="00197E0F" w:rsidRDefault="0040185E">
            <w:pPr>
              <w:pStyle w:val="Web"/>
              <w:spacing w:before="0" w:beforeAutospacing="0" w:after="0" w:afterAutospacing="0" w:line="440" w:lineRule="exact"/>
              <w:ind w:left="806" w:hanging="907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A</w:t>
            </w:r>
          </w:p>
        </w:tc>
        <w:tc>
          <w:tcPr>
            <w:tcW w:w="1418" w:type="dxa"/>
            <w:vAlign w:val="center"/>
          </w:tcPr>
          <w:p w:rsidR="0040185E" w:rsidRPr="00197E0F" w:rsidRDefault="0040185E">
            <w:pPr>
              <w:pStyle w:val="Web"/>
              <w:spacing w:before="0" w:beforeAutospacing="0" w:after="0" w:afterAutospacing="0"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累計至少</w:t>
            </w: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15</w:t>
            </w:r>
          </w:p>
        </w:tc>
        <w:tc>
          <w:tcPr>
            <w:tcW w:w="1417" w:type="dxa"/>
            <w:vAlign w:val="center"/>
          </w:tcPr>
          <w:p w:rsidR="0040185E" w:rsidRPr="00197E0F" w:rsidRDefault="0040185E">
            <w:pPr>
              <w:pStyle w:val="Web"/>
              <w:spacing w:before="0" w:beforeAutospacing="0" w:after="0" w:afterAutospacing="0"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累計至少</w:t>
            </w: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22</w:t>
            </w:r>
          </w:p>
        </w:tc>
        <w:tc>
          <w:tcPr>
            <w:tcW w:w="1418" w:type="dxa"/>
            <w:vAlign w:val="center"/>
          </w:tcPr>
          <w:p w:rsidR="0040185E" w:rsidRPr="00197E0F" w:rsidRDefault="0040185E">
            <w:pPr>
              <w:pStyle w:val="Web"/>
              <w:spacing w:before="0" w:beforeAutospacing="0" w:after="0" w:afterAutospacing="0"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累計至少</w:t>
            </w: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30</w:t>
            </w:r>
          </w:p>
        </w:tc>
        <w:tc>
          <w:tcPr>
            <w:tcW w:w="3827" w:type="dxa"/>
          </w:tcPr>
          <w:p w:rsidR="0040185E" w:rsidRPr="00197E0F" w:rsidRDefault="0040185E">
            <w:pPr>
              <w:pStyle w:val="Web"/>
              <w:spacing w:before="0" w:beforeAutospacing="0" w:after="0" w:afterAutospacing="0" w:line="44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商業司、水利署、工業局、</w:t>
            </w:r>
            <w:r w:rsidR="00D04D60">
              <w:rPr>
                <w:rFonts w:ascii="Times New Roman" w:eastAsia="標楷體" w:hAnsi="Times New Roman" w:cs="Times New Roman" w:hint="eastAsia"/>
                <w:b/>
                <w:bCs/>
                <w:color w:val="000000" w:themeColor="text1"/>
                <w:kern w:val="2"/>
                <w:sz w:val="28"/>
                <w:szCs w:val="28"/>
              </w:rPr>
              <w:t xml:space="preserve">   </w:t>
            </w: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能源局、標準檢驗局、智慧財產局、國際貿易局、礦務局、中小企業處、加工出口區管理處、中央地質調查所、貿易調查委員會、國營事業委員會、台灣電力公司、台灣中油公司、台灣糖業公司、台灣自來水公司</w:t>
            </w:r>
          </w:p>
        </w:tc>
      </w:tr>
      <w:tr w:rsidR="00AA6791" w:rsidRPr="00197E0F" w:rsidTr="00D04D60">
        <w:trPr>
          <w:trHeight w:val="1848"/>
        </w:trPr>
        <w:tc>
          <w:tcPr>
            <w:tcW w:w="426" w:type="dxa"/>
            <w:vAlign w:val="center"/>
          </w:tcPr>
          <w:p w:rsidR="0040185E" w:rsidRPr="00197E0F" w:rsidRDefault="0040185E">
            <w:pPr>
              <w:pStyle w:val="Web"/>
              <w:spacing w:before="0" w:beforeAutospacing="0" w:after="0" w:afterAutospacing="0" w:line="440" w:lineRule="exact"/>
              <w:ind w:left="806" w:hanging="907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B</w:t>
            </w:r>
          </w:p>
        </w:tc>
        <w:tc>
          <w:tcPr>
            <w:tcW w:w="1418" w:type="dxa"/>
            <w:vAlign w:val="center"/>
          </w:tcPr>
          <w:p w:rsidR="0040185E" w:rsidRPr="00197E0F" w:rsidRDefault="0040185E">
            <w:pPr>
              <w:pStyle w:val="Web"/>
              <w:spacing w:before="0" w:beforeAutospacing="0" w:after="0" w:afterAutospacing="0"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累計至少</w:t>
            </w: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40185E" w:rsidRPr="00197E0F" w:rsidRDefault="0040185E">
            <w:pPr>
              <w:pStyle w:val="Web"/>
              <w:spacing w:before="0" w:beforeAutospacing="0" w:after="0" w:afterAutospacing="0"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累計至少</w:t>
            </w:r>
            <w:r w:rsidR="00AA6791"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 xml:space="preserve"> </w:t>
            </w: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40185E" w:rsidRPr="00197E0F" w:rsidRDefault="0040185E">
            <w:pPr>
              <w:pStyle w:val="Web"/>
              <w:spacing w:before="0" w:beforeAutospacing="0" w:after="0" w:afterAutospacing="0"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累計至少</w:t>
            </w:r>
            <w:r w:rsidR="00AA6791"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 xml:space="preserve"> </w:t>
            </w: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40185E" w:rsidRPr="00197E0F" w:rsidRDefault="0040185E">
            <w:pPr>
              <w:pStyle w:val="Web"/>
              <w:spacing w:before="0" w:beforeAutospacing="0" w:after="0" w:afterAutospacing="0" w:line="44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總務司、統計處、研發會、</w:t>
            </w:r>
            <w:r w:rsidR="00D04D60">
              <w:rPr>
                <w:rFonts w:ascii="Times New Roman" w:eastAsia="標楷體" w:hAnsi="Times New Roman" w:cs="Times New Roman" w:hint="eastAsia"/>
                <w:b/>
                <w:bCs/>
                <w:color w:val="000000" w:themeColor="text1"/>
                <w:kern w:val="2"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國合處、投資業務處、中部辦公室、專研中心、投資審議委員會、</w:t>
            </w:r>
            <w:r w:rsidR="00B71089"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 xml:space="preserve">  </w:t>
            </w: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資訊中心</w:t>
            </w:r>
          </w:p>
        </w:tc>
      </w:tr>
      <w:tr w:rsidR="00AA6791" w:rsidRPr="00197E0F" w:rsidTr="00D04D60">
        <w:trPr>
          <w:trHeight w:val="1124"/>
        </w:trPr>
        <w:tc>
          <w:tcPr>
            <w:tcW w:w="426" w:type="dxa"/>
            <w:vAlign w:val="center"/>
          </w:tcPr>
          <w:p w:rsidR="0040185E" w:rsidRPr="00197E0F" w:rsidRDefault="0040185E">
            <w:pPr>
              <w:pStyle w:val="Web"/>
              <w:spacing w:before="0" w:beforeAutospacing="0" w:after="0" w:afterAutospacing="0" w:line="440" w:lineRule="exact"/>
              <w:ind w:left="806" w:hanging="907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 xml:space="preserve">C </w:t>
            </w:r>
          </w:p>
        </w:tc>
        <w:tc>
          <w:tcPr>
            <w:tcW w:w="1418" w:type="dxa"/>
            <w:vAlign w:val="center"/>
          </w:tcPr>
          <w:p w:rsidR="0040185E" w:rsidRPr="00197E0F" w:rsidRDefault="0040185E">
            <w:pPr>
              <w:pStyle w:val="Web"/>
              <w:spacing w:before="0" w:beforeAutospacing="0" w:after="0" w:afterAutospacing="0"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累計至少</w:t>
            </w: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1</w:t>
            </w:r>
          </w:p>
        </w:tc>
        <w:tc>
          <w:tcPr>
            <w:tcW w:w="1417" w:type="dxa"/>
            <w:vAlign w:val="center"/>
          </w:tcPr>
          <w:p w:rsidR="0040185E" w:rsidRPr="00197E0F" w:rsidRDefault="0040185E">
            <w:pPr>
              <w:pStyle w:val="Web"/>
              <w:spacing w:before="0" w:beforeAutospacing="0" w:after="0" w:afterAutospacing="0"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累計至少</w:t>
            </w:r>
            <w:r w:rsidR="00AA6791"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 xml:space="preserve"> </w:t>
            </w: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40185E" w:rsidRPr="00197E0F" w:rsidRDefault="0040185E">
            <w:pPr>
              <w:pStyle w:val="Web"/>
              <w:spacing w:before="0" w:beforeAutospacing="0" w:after="0" w:afterAutospacing="0" w:line="44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─</w:t>
            </w:r>
          </w:p>
        </w:tc>
        <w:tc>
          <w:tcPr>
            <w:tcW w:w="3827" w:type="dxa"/>
            <w:vAlign w:val="center"/>
          </w:tcPr>
          <w:p w:rsidR="0040185E" w:rsidRPr="00197E0F" w:rsidRDefault="0040185E">
            <w:pPr>
              <w:pStyle w:val="Web"/>
              <w:spacing w:before="0" w:beforeAutospacing="0" w:after="0" w:afterAutospacing="0" w:line="44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97E0F">
              <w:rPr>
                <w:rFonts w:ascii="Times New Roman" w:eastAsia="標楷體" w:hAnsi="Times New Roman" w:cs="Times New Roman"/>
                <w:b/>
                <w:bCs/>
                <w:color w:val="000000" w:themeColor="text1"/>
                <w:kern w:val="2"/>
                <w:sz w:val="28"/>
                <w:szCs w:val="28"/>
              </w:rPr>
              <w:t>人事處、技術處、經貿談判代表辦公室</w:t>
            </w:r>
          </w:p>
        </w:tc>
      </w:tr>
    </w:tbl>
    <w:p w:rsidR="000E7EB1" w:rsidRPr="000E7EB1" w:rsidRDefault="000E7EB1" w:rsidP="00EB747A">
      <w:pPr>
        <w:jc w:val="right"/>
      </w:pPr>
    </w:p>
    <w:sectPr w:rsidR="000E7EB1" w:rsidRPr="000E7EB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E0F" w:rsidRDefault="00197E0F" w:rsidP="00197E0F">
      <w:r>
        <w:separator/>
      </w:r>
    </w:p>
  </w:endnote>
  <w:endnote w:type="continuationSeparator" w:id="0">
    <w:p w:rsidR="00197E0F" w:rsidRDefault="00197E0F" w:rsidP="00197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E0F" w:rsidRDefault="00197E0F" w:rsidP="00197E0F">
      <w:r>
        <w:separator/>
      </w:r>
    </w:p>
  </w:footnote>
  <w:footnote w:type="continuationSeparator" w:id="0">
    <w:p w:rsidR="00197E0F" w:rsidRDefault="00197E0F" w:rsidP="00197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840E9"/>
    <w:multiLevelType w:val="hybridMultilevel"/>
    <w:tmpl w:val="C3E6D3BA"/>
    <w:lvl w:ilvl="0" w:tplc="0FE88F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3A78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62F4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6608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F8155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74813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065A9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A0AD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34FD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92C088C"/>
    <w:multiLevelType w:val="hybridMultilevel"/>
    <w:tmpl w:val="E7ECD556"/>
    <w:lvl w:ilvl="0" w:tplc="D444CA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E79019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00CF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5C02D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2EC3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08A2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C06D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60964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94803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EB1"/>
    <w:rsid w:val="000E7EB1"/>
    <w:rsid w:val="00197E0F"/>
    <w:rsid w:val="001E7BB6"/>
    <w:rsid w:val="00367088"/>
    <w:rsid w:val="0040185E"/>
    <w:rsid w:val="0050442C"/>
    <w:rsid w:val="006034C5"/>
    <w:rsid w:val="00625CC1"/>
    <w:rsid w:val="00696C64"/>
    <w:rsid w:val="00726795"/>
    <w:rsid w:val="008B1CB8"/>
    <w:rsid w:val="009935DE"/>
    <w:rsid w:val="00A715F3"/>
    <w:rsid w:val="00AA6791"/>
    <w:rsid w:val="00AB200B"/>
    <w:rsid w:val="00B71089"/>
    <w:rsid w:val="00BF2DA2"/>
    <w:rsid w:val="00D04D60"/>
    <w:rsid w:val="00D56CDE"/>
    <w:rsid w:val="00E5358D"/>
    <w:rsid w:val="00E7779E"/>
    <w:rsid w:val="00EB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E7E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List Paragraph"/>
    <w:basedOn w:val="a"/>
    <w:uiPriority w:val="34"/>
    <w:qFormat/>
    <w:rsid w:val="0040185E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197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97E0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97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97E0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E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E7EB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List Paragraph"/>
    <w:basedOn w:val="a"/>
    <w:uiPriority w:val="34"/>
    <w:qFormat/>
    <w:rsid w:val="0040185E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197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97E0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97E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97E0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8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46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3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>Ministry of Economic Affairs,R.O.C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孫銘慈</dc:creator>
  <cp:lastModifiedBy>孫銘慈</cp:lastModifiedBy>
  <cp:revision>4</cp:revision>
  <cp:lastPrinted>2016-04-14T06:37:00Z</cp:lastPrinted>
  <dcterms:created xsi:type="dcterms:W3CDTF">2016-04-14T06:49:00Z</dcterms:created>
  <dcterms:modified xsi:type="dcterms:W3CDTF">2016-04-18T02:28:00Z</dcterms:modified>
</cp:coreProperties>
</file>